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F8" w:rsidRDefault="00E529F8"/>
    <w:p w:rsidR="00E529F8" w:rsidRPr="00F40B2B" w:rsidRDefault="00E529F8">
      <w:pPr>
        <w:rPr>
          <w:rStyle w:val="Rubrik2Char"/>
          <w:b/>
          <w:color w:val="auto"/>
        </w:rPr>
      </w:pPr>
      <w:r w:rsidRPr="00F40B2B">
        <w:rPr>
          <w:rStyle w:val="Rubrik2Char"/>
          <w:b/>
          <w:color w:val="auto"/>
        </w:rPr>
        <w:t>Protokoll</w:t>
      </w:r>
    </w:p>
    <w:p w:rsidR="00E529F8" w:rsidRDefault="00E529F8">
      <w:r>
        <w:t xml:space="preserve">Tid: 2017-03-02 </w:t>
      </w:r>
      <w:proofErr w:type="spellStart"/>
      <w:r>
        <w:t>kl</w:t>
      </w:r>
      <w:proofErr w:type="spellEnd"/>
      <w:r>
        <w:t xml:space="preserve"> 15-16</w:t>
      </w:r>
      <w:r>
        <w:br/>
        <w:t xml:space="preserve">Plats: Trafikverket, Kruthusgatan 17 Göteborg </w:t>
      </w:r>
    </w:p>
    <w:p w:rsidR="00E529F8" w:rsidRDefault="003E0B46" w:rsidP="005575DE">
      <w:pPr>
        <w:spacing w:after="0"/>
        <w:sectPr w:rsidR="00E529F8">
          <w:headerReference w:type="default" r:id="rId7"/>
          <w:pgSz w:w="11906" w:h="16838"/>
          <w:pgMar w:top="1417" w:right="1417" w:bottom="1417" w:left="1417" w:header="708" w:footer="708" w:gutter="0"/>
          <w:cols w:space="708"/>
          <w:docGrid w:linePitch="360"/>
        </w:sectPr>
      </w:pPr>
      <w:r>
        <w:t xml:space="preserve">Närvarande: </w:t>
      </w:r>
    </w:p>
    <w:p w:rsidR="00E529F8" w:rsidRDefault="00E529F8">
      <w:r>
        <w:t>Torsten Nordgren, TRV</w:t>
      </w:r>
      <w:r>
        <w:br/>
        <w:t>Emelie Karlsson, VTI</w:t>
      </w:r>
      <w:r>
        <w:br/>
        <w:t>Björn Kalman, VTI</w:t>
      </w:r>
      <w:r>
        <w:br/>
        <w:t xml:space="preserve">Robert </w:t>
      </w:r>
      <w:proofErr w:type="spellStart"/>
      <w:r>
        <w:t>Lestander</w:t>
      </w:r>
      <w:proofErr w:type="spellEnd"/>
      <w:r>
        <w:t xml:space="preserve">, Swedavia </w:t>
      </w:r>
      <w:r>
        <w:br/>
        <w:t>Camilla Westerholm, NCC</w:t>
      </w:r>
      <w:r>
        <w:br/>
      </w:r>
      <w:r>
        <w:t>Madelaine Matsson, Skanska</w:t>
      </w:r>
      <w:r>
        <w:br/>
        <w:t>Patrik Malmberg, Svevia</w:t>
      </w:r>
      <w:r>
        <w:br/>
        <w:t>Michael Langfjell, Peab</w:t>
      </w:r>
      <w:r>
        <w:br/>
        <w:t>Mark Smith, Akzo Nobel</w:t>
      </w:r>
      <w:r>
        <w:br/>
        <w:t>Mikael Jonsson, Nynas</w:t>
      </w:r>
    </w:p>
    <w:p w:rsidR="00901034" w:rsidRDefault="00901034">
      <w:pPr>
        <w:sectPr w:rsidR="00901034" w:rsidSect="00E529F8">
          <w:type w:val="continuous"/>
          <w:pgSz w:w="11906" w:h="16838"/>
          <w:pgMar w:top="1417" w:right="1417" w:bottom="1417" w:left="1417" w:header="708" w:footer="708" w:gutter="0"/>
          <w:cols w:num="2" w:space="708"/>
          <w:docGrid w:linePitch="360"/>
        </w:sectPr>
      </w:pPr>
    </w:p>
    <w:p w:rsidR="00901034" w:rsidRPr="00901034" w:rsidRDefault="00901034" w:rsidP="00901034">
      <w:pPr>
        <w:pStyle w:val="Liststycke"/>
        <w:rPr>
          <w:rStyle w:val="Rubrik2Char"/>
          <w:rFonts w:asciiTheme="minorHAnsi" w:eastAsiaTheme="minorHAnsi" w:hAnsiTheme="minorHAnsi" w:cstheme="minorBidi"/>
          <w:color w:val="auto"/>
          <w:sz w:val="22"/>
          <w:szCs w:val="22"/>
        </w:rPr>
      </w:pPr>
    </w:p>
    <w:p w:rsidR="00901034" w:rsidRPr="00901034" w:rsidRDefault="00901034" w:rsidP="00901034">
      <w:pPr>
        <w:pStyle w:val="Liststycke"/>
        <w:rPr>
          <w:rStyle w:val="Rubrik2Char"/>
          <w:rFonts w:asciiTheme="minorHAnsi" w:eastAsiaTheme="minorHAnsi" w:hAnsiTheme="minorHAnsi" w:cstheme="minorBidi"/>
          <w:color w:val="auto"/>
          <w:sz w:val="22"/>
          <w:szCs w:val="22"/>
        </w:rPr>
      </w:pPr>
    </w:p>
    <w:p w:rsidR="00922C42" w:rsidRDefault="00922C42" w:rsidP="00922C42">
      <w:pPr>
        <w:pStyle w:val="Liststycke"/>
        <w:numPr>
          <w:ilvl w:val="0"/>
          <w:numId w:val="1"/>
        </w:numPr>
      </w:pPr>
      <w:r w:rsidRPr="00345383">
        <w:rPr>
          <w:rStyle w:val="Rubrik2Char"/>
          <w:b/>
          <w:color w:val="auto"/>
        </w:rPr>
        <w:t>Mötets öppnande och tidigare minnesanteckningar</w:t>
      </w:r>
      <w:r>
        <w:br/>
        <w:t xml:space="preserve">Ordförande </w:t>
      </w:r>
      <w:r w:rsidRPr="00345383">
        <w:t>öppnar mötet och på grund av bristfälliga anteckningar från föregående möte används anteckningarna från</w:t>
      </w:r>
      <w:r>
        <w:t xml:space="preserve"> 2016-04-19 som agenda till detta möte.</w:t>
      </w:r>
      <w:r w:rsidR="00345383">
        <w:br/>
      </w:r>
    </w:p>
    <w:p w:rsidR="00922C42" w:rsidRDefault="00922C42" w:rsidP="00922C42">
      <w:pPr>
        <w:pStyle w:val="Liststycke"/>
        <w:numPr>
          <w:ilvl w:val="0"/>
          <w:numId w:val="1"/>
        </w:numPr>
      </w:pPr>
      <w:r w:rsidRPr="00345383">
        <w:rPr>
          <w:rStyle w:val="Rubrik2Char"/>
          <w:b/>
          <w:color w:val="auto"/>
        </w:rPr>
        <w:t>Representation i utskottet</w:t>
      </w:r>
      <w:r>
        <w:br/>
        <w:t>Mark Smith deltar som ny representant från Akzo Nobel. Helene Odelius har slutat på Nynas och ersätts av Bengt Sandman. Direktiven från styrgruppen är en deltagare per företag. Nynas deltar med två representanter då Mikael Jonson deltar i WG2 är det viktigt att ha med en representant som också deltar på utskottets möten för att vara insatt i diskussionerna. Denna dubbelstol för Nynas accepteras i gruppen. VTI deltar med två representanter, Björn som korrespondent och expert och Emelie som sekreterare. Även denna dubbelstol accepteras.</w:t>
      </w:r>
      <w:r w:rsidR="00345383">
        <w:br/>
      </w:r>
    </w:p>
    <w:p w:rsidR="00E529F8" w:rsidRDefault="00345383" w:rsidP="003717B1">
      <w:pPr>
        <w:pStyle w:val="Liststycke"/>
        <w:numPr>
          <w:ilvl w:val="0"/>
          <w:numId w:val="1"/>
        </w:numPr>
      </w:pPr>
      <w:r w:rsidRPr="00345383">
        <w:rPr>
          <w:rStyle w:val="Rubrik2Char"/>
          <w:b/>
          <w:color w:val="auto"/>
        </w:rPr>
        <w:t>Metodhandledningar penetrationsbitumen</w:t>
      </w:r>
      <w:r w:rsidR="003717B1" w:rsidRPr="00345383">
        <w:t xml:space="preserve"> </w:t>
      </w:r>
      <w:r>
        <w:br/>
      </w:r>
      <w:r w:rsidR="003717B1">
        <w:t xml:space="preserve">Metodhandledningen för SS-EN 1427 mjukpunkt ska uppdateras med anledning av uppvärmning med glycerol. Emelie, Michael och Madelaine ansvarar för detta till nästkommande möte. </w:t>
      </w:r>
      <w:r w:rsidR="003717B1">
        <w:br/>
        <w:t xml:space="preserve">Helenes punkt om metodhandledning för SS-EN 12595 </w:t>
      </w:r>
      <w:r w:rsidR="003717B1" w:rsidRPr="003717B1">
        <w:t>lä</w:t>
      </w:r>
      <w:r w:rsidR="003717B1">
        <w:t>mnas nu över till Bengt som sammankallande. Michael,</w:t>
      </w:r>
      <w:r w:rsidR="003717B1" w:rsidRPr="003717B1">
        <w:t xml:space="preserve"> Madelaine</w:t>
      </w:r>
      <w:r w:rsidR="003717B1">
        <w:t xml:space="preserve"> och </w:t>
      </w:r>
      <w:r w:rsidR="003717B1" w:rsidRPr="003717B1">
        <w:t xml:space="preserve">Emelie </w:t>
      </w:r>
      <w:r w:rsidR="003717B1">
        <w:t>hjälper till att skriva metodhandelning</w:t>
      </w:r>
      <w:r w:rsidR="003717B1" w:rsidRPr="003717B1">
        <w:t xml:space="preserve">. </w:t>
      </w:r>
      <w:r w:rsidR="003717B1">
        <w:br/>
        <w:t xml:space="preserve">För EN </w:t>
      </w:r>
      <w:r w:rsidR="003717B1" w:rsidRPr="003717B1">
        <w:t>13302 återkommer när de</w:t>
      </w:r>
      <w:r w:rsidR="003717B1">
        <w:t>n är reviderad och klar.</w:t>
      </w:r>
      <w:r>
        <w:br/>
      </w:r>
    </w:p>
    <w:p w:rsidR="009F0E74" w:rsidRDefault="009F0E74" w:rsidP="009F0E74">
      <w:pPr>
        <w:pStyle w:val="Liststycke"/>
        <w:numPr>
          <w:ilvl w:val="0"/>
          <w:numId w:val="1"/>
        </w:numPr>
      </w:pPr>
      <w:r w:rsidRPr="00345383">
        <w:rPr>
          <w:rStyle w:val="Rubrik2Char"/>
          <w:b/>
          <w:color w:val="auto"/>
        </w:rPr>
        <w:t>Metodhanledningar för emulsioner</w:t>
      </w:r>
      <w:r w:rsidRPr="00345383">
        <w:t xml:space="preserve"> </w:t>
      </w:r>
      <w:r w:rsidR="00345383">
        <w:br/>
        <w:t>G</w:t>
      </w:r>
      <w:r>
        <w:t>ruppen</w:t>
      </w:r>
      <w:r w:rsidR="00345383">
        <w:t xml:space="preserve"> ser</w:t>
      </w:r>
      <w:r w:rsidRPr="009F0E74">
        <w:t xml:space="preserve"> inget behov </w:t>
      </w:r>
      <w:r>
        <w:t>för</w:t>
      </w:r>
      <w:r w:rsidR="00345383">
        <w:t xml:space="preserve"> detta</w:t>
      </w:r>
      <w:r>
        <w:t xml:space="preserve"> just nu</w:t>
      </w:r>
      <w:r w:rsidRPr="009F0E74">
        <w:t>. Inget arbete påbörjas.</w:t>
      </w:r>
      <w:r w:rsidR="00345383">
        <w:br/>
      </w:r>
    </w:p>
    <w:p w:rsidR="00F821DA" w:rsidRPr="00F821DA" w:rsidRDefault="009F0E74" w:rsidP="00830E71">
      <w:pPr>
        <w:pStyle w:val="Liststycke"/>
        <w:numPr>
          <w:ilvl w:val="0"/>
          <w:numId w:val="1"/>
        </w:numPr>
      </w:pPr>
      <w:r w:rsidRPr="00345383">
        <w:rPr>
          <w:rStyle w:val="Rubrik2Char"/>
          <w:b/>
          <w:color w:val="auto"/>
        </w:rPr>
        <w:t>Metodhandeldningar för</w:t>
      </w:r>
      <w:r w:rsidR="00345383" w:rsidRPr="00345383">
        <w:rPr>
          <w:rStyle w:val="Rubrik2Char"/>
          <w:b/>
          <w:color w:val="auto"/>
        </w:rPr>
        <w:t xml:space="preserve"> PMB</w:t>
      </w:r>
      <w:r w:rsidR="00345383">
        <w:br/>
      </w:r>
      <w:r>
        <w:t>Det finns ett</w:t>
      </w:r>
      <w:r w:rsidRPr="009F0E74">
        <w:t xml:space="preserve"> behov av en handledning för provberedning inför analys</w:t>
      </w:r>
      <w:r>
        <w:t>,</w:t>
      </w:r>
      <w:r w:rsidRPr="009F0E74">
        <w:t xml:space="preserve"> hantering temperatur osv. En grupp </w:t>
      </w:r>
      <w:r>
        <w:t>för detta tills</w:t>
      </w:r>
      <w:r w:rsidRPr="009F0E74">
        <w:t>ä</w:t>
      </w:r>
      <w:r>
        <w:t>t</w:t>
      </w:r>
      <w:r w:rsidRPr="009F0E74">
        <w:t xml:space="preserve">ts vid nästa möte. Varje deltagare får tänka igenom detta till dess för att se vad man kan bidra med och vilka erfarenheter man har. </w:t>
      </w:r>
      <w:r w:rsidR="00901034">
        <w:br/>
        <w:t>Ett tips</w:t>
      </w:r>
      <w:r w:rsidR="00901034" w:rsidRPr="00901034">
        <w:t xml:space="preserve"> </w:t>
      </w:r>
      <w:r w:rsidRPr="00901034">
        <w:t xml:space="preserve">Anton </w:t>
      </w:r>
      <w:proofErr w:type="spellStart"/>
      <w:r w:rsidR="00901034" w:rsidRPr="00901034">
        <w:t>P</w:t>
      </w:r>
      <w:r w:rsidRPr="00901034">
        <w:t>aar</w:t>
      </w:r>
      <w:proofErr w:type="spellEnd"/>
      <w:r w:rsidRPr="00901034">
        <w:t xml:space="preserve"> h</w:t>
      </w:r>
      <w:r w:rsidR="00901034" w:rsidRPr="00901034">
        <w:t>åller</w:t>
      </w:r>
      <w:r w:rsidRPr="00901034">
        <w:t xml:space="preserve"> seminarium i Malmö</w:t>
      </w:r>
      <w:r w:rsidR="00901034">
        <w:rPr>
          <w:color w:val="FF0000"/>
        </w:rPr>
        <w:br/>
      </w:r>
      <w:hyperlink r:id="rId8" w:history="1">
        <w:r w:rsidR="00830E71" w:rsidRPr="00830E71">
          <w:rPr>
            <w:rStyle w:val="Hyperlnk"/>
          </w:rPr>
          <w:t>http://www.anton-paar.com/corp-en/services-support/seminars/</w:t>
        </w:r>
      </w:hyperlink>
      <w:r w:rsidR="00345383">
        <w:rPr>
          <w:color w:val="FF0000"/>
        </w:rPr>
        <w:br/>
      </w:r>
    </w:p>
    <w:p w:rsidR="00F821DA" w:rsidRDefault="00F821DA" w:rsidP="00F821DA">
      <w:pPr>
        <w:pStyle w:val="Liststycke"/>
        <w:numPr>
          <w:ilvl w:val="0"/>
          <w:numId w:val="1"/>
        </w:numPr>
      </w:pPr>
      <w:r>
        <w:lastRenderedPageBreak/>
        <w:t xml:space="preserve"> </w:t>
      </w:r>
      <w:r w:rsidRPr="00345383">
        <w:rPr>
          <w:rStyle w:val="Rubrik2Char"/>
          <w:b/>
          <w:color w:val="auto"/>
        </w:rPr>
        <w:t>Ringanalyser och hantering av outliers.</w:t>
      </w:r>
      <w:r w:rsidRPr="00345383">
        <w:t xml:space="preserve"> </w:t>
      </w:r>
      <w:r w:rsidR="00345383">
        <w:br/>
      </w:r>
      <w:r>
        <w:t xml:space="preserve">En uppdaterad manual för ringanalyser finns på metodgruppens hemsida. Bitumenutskottet borde ha med en representant i ringanalysgruppen för att bevaka gruppens intresse. Emelie kontaktar ringanalysgruppen för att delta. </w:t>
      </w:r>
    </w:p>
    <w:p w:rsidR="004F5938" w:rsidRDefault="00F821DA" w:rsidP="004F5938">
      <w:pPr>
        <w:pStyle w:val="Liststycke"/>
      </w:pPr>
      <w:r>
        <w:t xml:space="preserve">En önska att genomföra en ringanalys med PMB provning, ett </w:t>
      </w:r>
      <w:r w:rsidR="00E414D9">
        <w:t>lågt modifierat</w:t>
      </w:r>
      <w:r>
        <w:t xml:space="preserve"> och ett högmodifierat. Emelie spelar in detta till ringanalysgruppen.</w:t>
      </w:r>
      <w:r>
        <w:br/>
      </w:r>
      <w:r>
        <w:br/>
        <w:t xml:space="preserve">Svevia ska ha uppstartsmöte under våren och bland annat utföra en mindre ringanalys i Hässleholm. Om intresse finns kan man anmäla sig till Patrik för att få utföra brytindex och jämföra sig. Patrik skriver ihop information och bjuder in. </w:t>
      </w:r>
      <w:r w:rsidR="00345383">
        <w:t xml:space="preserve">En ringanalys för brytindex där proverna skickas till olika laboratorier kan vara svårt då snabba emulsioner kan hinna bryta. </w:t>
      </w:r>
      <w:r w:rsidR="00345383">
        <w:br/>
      </w:r>
      <w:r w:rsidR="00345383">
        <w:br/>
      </w:r>
      <w:r w:rsidR="00345383" w:rsidRPr="00345383">
        <w:t>En tidigare ringanalys med olika filler för brytindex och indunstning har utförts men resultaten efterfrågas.</w:t>
      </w:r>
    </w:p>
    <w:p w:rsidR="004F5938" w:rsidRDefault="004F5938" w:rsidP="004F5938">
      <w:pPr>
        <w:pStyle w:val="Liststycke"/>
      </w:pPr>
    </w:p>
    <w:p w:rsidR="004F5938" w:rsidRDefault="00F821DA" w:rsidP="00F821DA">
      <w:pPr>
        <w:pStyle w:val="Liststycke"/>
        <w:numPr>
          <w:ilvl w:val="0"/>
          <w:numId w:val="1"/>
        </w:numPr>
      </w:pPr>
      <w:r w:rsidRPr="004F5938">
        <w:rPr>
          <w:rStyle w:val="Rubrik2Char"/>
          <w:b/>
          <w:color w:val="auto"/>
        </w:rPr>
        <w:t>Metoddagen 201</w:t>
      </w:r>
      <w:r w:rsidR="00345383" w:rsidRPr="004F5938">
        <w:rPr>
          <w:rStyle w:val="Rubrik2Char"/>
          <w:b/>
          <w:color w:val="auto"/>
        </w:rPr>
        <w:t>8</w:t>
      </w:r>
      <w:r w:rsidR="004F5938">
        <w:rPr>
          <w:rStyle w:val="Rubrik2Char"/>
          <w:b/>
          <w:color w:val="auto"/>
        </w:rPr>
        <w:br/>
      </w:r>
      <w:r w:rsidR="004F5938">
        <w:t xml:space="preserve">Varje utskott får två föredrag på 20 minuter vardera. Alla medlemmar i utskottet får som uppgift att komma med förslag på föredrag till nästa möte. </w:t>
      </w:r>
      <w:r w:rsidR="004F5938">
        <w:br/>
      </w:r>
    </w:p>
    <w:p w:rsidR="004F5938" w:rsidRDefault="00F821DA" w:rsidP="00F821DA">
      <w:pPr>
        <w:pStyle w:val="Liststycke"/>
        <w:numPr>
          <w:ilvl w:val="0"/>
          <w:numId w:val="1"/>
        </w:numPr>
      </w:pPr>
      <w:r w:rsidRPr="004F5938">
        <w:rPr>
          <w:rStyle w:val="Rubrik2Char"/>
          <w:b/>
          <w:color w:val="auto"/>
        </w:rPr>
        <w:t xml:space="preserve"> </w:t>
      </w:r>
      <w:r w:rsidR="004F5938" w:rsidRPr="004F5938">
        <w:rPr>
          <w:rStyle w:val="Rubrik2Char"/>
          <w:b/>
          <w:color w:val="auto"/>
        </w:rPr>
        <w:t>QC-tester</w:t>
      </w:r>
      <w:r w:rsidR="004F5938">
        <w:t xml:space="preserve"> </w:t>
      </w:r>
      <w:r w:rsidR="004F5938">
        <w:br/>
        <w:t>Utifrån s</w:t>
      </w:r>
      <w:r>
        <w:t>eminariet</w:t>
      </w:r>
      <w:r w:rsidR="004F5938">
        <w:t xml:space="preserve"> under våren 2016 har det bildats ett projekt.  Det är viss fördröjning i projektet och u</w:t>
      </w:r>
      <w:r>
        <w:t xml:space="preserve">trustningen ska förhoppningsvis skeppas från USA nu. </w:t>
      </w:r>
      <w:r w:rsidR="004F5938">
        <w:br/>
      </w:r>
    </w:p>
    <w:p w:rsidR="004F5938" w:rsidRDefault="004F5938" w:rsidP="00F821DA">
      <w:pPr>
        <w:pStyle w:val="Liststycke"/>
        <w:numPr>
          <w:ilvl w:val="0"/>
          <w:numId w:val="1"/>
        </w:numPr>
      </w:pPr>
      <w:r w:rsidRPr="004F5938">
        <w:rPr>
          <w:rStyle w:val="Rubrik2Char"/>
          <w:b/>
          <w:color w:val="auto"/>
        </w:rPr>
        <w:t>PMB tabell 14023</w:t>
      </w:r>
      <w:r>
        <w:br/>
      </w:r>
      <w:r w:rsidR="00F821DA">
        <w:t xml:space="preserve">Ny </w:t>
      </w:r>
      <w:r>
        <w:t xml:space="preserve">version av </w:t>
      </w:r>
      <w:r w:rsidR="00F821DA">
        <w:t>tabell</w:t>
      </w:r>
      <w:r>
        <w:t>en finns med i underlaget till detta möte</w:t>
      </w:r>
      <w:r w:rsidR="00F821DA">
        <w:t xml:space="preserve">. </w:t>
      </w:r>
      <w:r>
        <w:t xml:space="preserve">Se över tabellen </w:t>
      </w:r>
      <w:r w:rsidR="00F821DA">
        <w:t>och spela in kommentarer till Torsten</w:t>
      </w:r>
      <w:r>
        <w:t xml:space="preserve"> innan den 14 mars</w:t>
      </w:r>
      <w:r w:rsidR="00F821DA">
        <w:t xml:space="preserve">. </w:t>
      </w:r>
      <w:r>
        <w:br/>
      </w:r>
    </w:p>
    <w:p w:rsidR="004F5938" w:rsidRDefault="00F821DA" w:rsidP="00F821DA">
      <w:pPr>
        <w:pStyle w:val="Liststycke"/>
        <w:numPr>
          <w:ilvl w:val="0"/>
          <w:numId w:val="1"/>
        </w:numPr>
      </w:pPr>
      <w:r>
        <w:t xml:space="preserve"> </w:t>
      </w:r>
      <w:r w:rsidR="004F5938" w:rsidRPr="004F5938">
        <w:rPr>
          <w:rStyle w:val="Rubrik2Char"/>
          <w:b/>
          <w:color w:val="auto"/>
        </w:rPr>
        <w:t>Synpunkter på metoder</w:t>
      </w:r>
      <w:r w:rsidR="004F5938">
        <w:br/>
      </w:r>
      <w:r>
        <w:t>En påminnelse om dokumente</w:t>
      </w:r>
      <w:r w:rsidR="004F5938">
        <w:t>n</w:t>
      </w:r>
      <w:r>
        <w:t xml:space="preserve"> för synpunkter på metoder. </w:t>
      </w:r>
      <w:hyperlink r:id="rId9" w:history="1">
        <w:r w:rsidR="004F5938" w:rsidRPr="004F5938">
          <w:rPr>
            <w:rFonts w:ascii="Calibri" w:eastAsia="Calibri" w:hAnsi="Calibri" w:cs="Times New Roman"/>
            <w:color w:val="0000FF"/>
            <w:u w:val="single"/>
          </w:rPr>
          <w:t>http://www.metodgruppen.nu/web/page.aspx?refid=66</w:t>
        </w:r>
      </w:hyperlink>
      <w:r w:rsidR="004F5938">
        <w:br/>
      </w:r>
    </w:p>
    <w:p w:rsidR="004F5938" w:rsidRDefault="00F821DA" w:rsidP="00F821DA">
      <w:pPr>
        <w:pStyle w:val="Liststycke"/>
        <w:numPr>
          <w:ilvl w:val="0"/>
          <w:numId w:val="1"/>
        </w:numPr>
      </w:pPr>
      <w:r w:rsidRPr="006822C8">
        <w:rPr>
          <w:rStyle w:val="Rubrik2Char"/>
          <w:b/>
          <w:color w:val="auto"/>
        </w:rPr>
        <w:t xml:space="preserve">Omvärldsbevakning </w:t>
      </w:r>
      <w:r w:rsidR="004F5938">
        <w:br/>
      </w:r>
      <w:r w:rsidR="00705270">
        <w:t xml:space="preserve">Det </w:t>
      </w:r>
      <w:r>
        <w:t xml:space="preserve">händer mycket inom asfalt, beläggning och bitumen </w:t>
      </w:r>
      <w:r w:rsidR="00705270">
        <w:t>med n</w:t>
      </w:r>
      <w:r>
        <w:t xml:space="preserve">ya metoder inom alla områden. Uppmaning till alla att dela med sig om konferenser etc. </w:t>
      </w:r>
      <w:r w:rsidR="004F5938">
        <w:br/>
      </w:r>
    </w:p>
    <w:p w:rsidR="00335C86" w:rsidRDefault="00F821DA" w:rsidP="00A45DB8">
      <w:pPr>
        <w:pStyle w:val="Liststycke"/>
        <w:numPr>
          <w:ilvl w:val="0"/>
          <w:numId w:val="1"/>
        </w:numPr>
        <w:spacing w:before="240"/>
      </w:pPr>
      <w:r w:rsidRPr="006822C8">
        <w:rPr>
          <w:rStyle w:val="Rubrik2Char"/>
          <w:b/>
          <w:color w:val="auto"/>
        </w:rPr>
        <w:t>Övriga frågor</w:t>
      </w:r>
      <w:r>
        <w:t xml:space="preserve"> </w:t>
      </w:r>
      <w:r w:rsidR="00335C86">
        <w:br/>
      </w:r>
      <w:r w:rsidR="00FE3744">
        <w:t>I</w:t>
      </w:r>
      <w:r>
        <w:t>nspel från Norge angående glycerols uppvärmning mellan 30 och 60 grader</w:t>
      </w:r>
      <w:r w:rsidR="00FE3744">
        <w:t xml:space="preserve"> i metod EN 1427 mjukpunkt</w:t>
      </w:r>
      <w:r>
        <w:t xml:space="preserve">. Dom vill ha ett tillägg </w:t>
      </w:r>
      <w:r w:rsidR="00FE3744">
        <w:t xml:space="preserve">till metoden med utökad tid för uppvärmning. </w:t>
      </w:r>
      <w:r>
        <w:t xml:space="preserve"> </w:t>
      </w:r>
      <w:r w:rsidR="00A45DB8">
        <w:br/>
      </w:r>
      <w:r w:rsidR="00A45DB8">
        <w:br/>
      </w:r>
      <w:r>
        <w:t xml:space="preserve">Svevia </w:t>
      </w:r>
      <w:r w:rsidR="00FE3744">
        <w:t xml:space="preserve">har en kommentar för </w:t>
      </w:r>
      <w:r>
        <w:t>indunstning</w:t>
      </w:r>
      <w:r w:rsidR="00FE3744">
        <w:t xml:space="preserve">/stabilisering av emulsion </w:t>
      </w:r>
      <w:r>
        <w:t>vid 85 grader</w:t>
      </w:r>
      <w:r w:rsidR="00FE3744">
        <w:t xml:space="preserve"> enligt EN </w:t>
      </w:r>
      <w:r w:rsidR="00980B6B">
        <w:t>13074–2</w:t>
      </w:r>
      <w:r>
        <w:t xml:space="preserve">. </w:t>
      </w:r>
      <w:r w:rsidR="00FE3744">
        <w:t>När</w:t>
      </w:r>
      <w:r>
        <w:t xml:space="preserve"> </w:t>
      </w:r>
      <w:r w:rsidR="00A45DB8">
        <w:t xml:space="preserve">emulsionen </w:t>
      </w:r>
      <w:r>
        <w:t>stå</w:t>
      </w:r>
      <w:r w:rsidR="00FE3744">
        <w:t>r</w:t>
      </w:r>
      <w:r>
        <w:t xml:space="preserve"> i 24 timmar 85 grader påverka</w:t>
      </w:r>
      <w:r w:rsidR="00FE3744">
        <w:t>s</w:t>
      </w:r>
      <w:r>
        <w:t xml:space="preserve"> bitumen. </w:t>
      </w:r>
      <w:r w:rsidR="00FE3744">
        <w:t>För penetrationsbtium</w:t>
      </w:r>
      <w:r>
        <w:t>e</w:t>
      </w:r>
      <w:r w:rsidR="00FE3744">
        <w:t>n</w:t>
      </w:r>
      <w:r>
        <w:t xml:space="preserve"> räcker steg 1 och då klarar sig bitumen</w:t>
      </w:r>
      <w:r w:rsidR="003A6139">
        <w:t xml:space="preserve"> utan påverkan</w:t>
      </w:r>
      <w:r>
        <w:t xml:space="preserve">. </w:t>
      </w:r>
      <w:r w:rsidR="00A45DB8">
        <w:br/>
      </w:r>
      <w:r w:rsidR="00A45DB8">
        <w:br/>
      </w:r>
      <w:r w:rsidR="003A6139">
        <w:t xml:space="preserve">Peab har hittat en tillverkare av pyrolysugnar som kan vara av intresse för fler inom branschen. Emelie lägger informationen på metodgruppens hemsida. </w:t>
      </w:r>
      <w:r w:rsidR="003A6139">
        <w:br/>
      </w:r>
    </w:p>
    <w:p w:rsidR="00A45DB8" w:rsidRDefault="00A45DB8" w:rsidP="00A45DB8">
      <w:pPr>
        <w:spacing w:before="240"/>
      </w:pPr>
    </w:p>
    <w:p w:rsidR="00A45DB8" w:rsidRDefault="00A45DB8" w:rsidP="00A45DB8">
      <w:pPr>
        <w:spacing w:before="240"/>
      </w:pPr>
    </w:p>
    <w:p w:rsidR="00F821DA" w:rsidRDefault="00F821DA" w:rsidP="00F821DA">
      <w:pPr>
        <w:pStyle w:val="Liststycke"/>
        <w:numPr>
          <w:ilvl w:val="0"/>
          <w:numId w:val="1"/>
        </w:numPr>
      </w:pPr>
      <w:r>
        <w:t xml:space="preserve"> </w:t>
      </w:r>
      <w:r w:rsidRPr="006822C8">
        <w:rPr>
          <w:rStyle w:val="Rubrik2Char"/>
          <w:b/>
          <w:color w:val="auto"/>
        </w:rPr>
        <w:t xml:space="preserve">Nästa möte 29/8 </w:t>
      </w:r>
      <w:r w:rsidR="00335C86" w:rsidRPr="006822C8">
        <w:rPr>
          <w:rStyle w:val="Rubrik2Char"/>
          <w:b/>
          <w:color w:val="auto"/>
        </w:rPr>
        <w:t xml:space="preserve">hos </w:t>
      </w:r>
      <w:r w:rsidRPr="006822C8">
        <w:rPr>
          <w:rStyle w:val="Rubrik2Char"/>
          <w:b/>
          <w:color w:val="auto"/>
        </w:rPr>
        <w:t xml:space="preserve">Peab </w:t>
      </w:r>
      <w:r w:rsidR="00335C86" w:rsidRPr="006822C8">
        <w:rPr>
          <w:rStyle w:val="Rubrik2Char"/>
          <w:b/>
          <w:color w:val="auto"/>
        </w:rPr>
        <w:t xml:space="preserve">i </w:t>
      </w:r>
      <w:r w:rsidRPr="006822C8">
        <w:rPr>
          <w:rStyle w:val="Rubrik2Char"/>
          <w:b/>
          <w:color w:val="auto"/>
        </w:rPr>
        <w:t>Göteborg</w:t>
      </w:r>
      <w:r w:rsidR="00335C86" w:rsidRPr="006822C8">
        <w:rPr>
          <w:rStyle w:val="Rubrik2Char"/>
          <w:b/>
          <w:color w:val="auto"/>
        </w:rPr>
        <w:t xml:space="preserve">. </w:t>
      </w:r>
    </w:p>
    <w:p w:rsidR="00F821DA" w:rsidRDefault="00F821DA" w:rsidP="00F821DA"/>
    <w:p w:rsidR="00830E71" w:rsidRPr="00335C86" w:rsidRDefault="00830E71">
      <w:pPr>
        <w:rPr>
          <w:sz w:val="18"/>
        </w:rPr>
      </w:pPr>
    </w:p>
    <w:p w:rsidR="00830E71" w:rsidRPr="00335C86" w:rsidRDefault="00830E71" w:rsidP="00830E71">
      <w:pPr>
        <w:tabs>
          <w:tab w:val="num" w:pos="426"/>
        </w:tabs>
        <w:ind w:left="426"/>
        <w:rPr>
          <w:rFonts w:ascii="Bell MT" w:hAnsi="Bell MT"/>
          <w:sz w:val="36"/>
        </w:rPr>
      </w:pPr>
      <w:r w:rsidRPr="00335C86">
        <w:rPr>
          <w:rFonts w:ascii="Bell MT" w:hAnsi="Bell MT"/>
          <w:sz w:val="36"/>
        </w:rPr>
        <w:t>Emelie Karlsson</w:t>
      </w:r>
      <w:r w:rsidR="00335C86" w:rsidRPr="00335C86">
        <w:rPr>
          <w:rFonts w:ascii="Bell MT" w:hAnsi="Bell MT"/>
          <w:sz w:val="36"/>
        </w:rPr>
        <w:tab/>
      </w:r>
      <w:r w:rsidRPr="00335C86">
        <w:rPr>
          <w:rFonts w:ascii="Bell MT" w:hAnsi="Bell MT"/>
          <w:sz w:val="36"/>
        </w:rPr>
        <w:tab/>
        <w:t>Torsten Nordgren</w:t>
      </w:r>
    </w:p>
    <w:p w:rsidR="00830E71" w:rsidRDefault="00830E71" w:rsidP="00830E71">
      <w:pPr>
        <w:tabs>
          <w:tab w:val="num" w:pos="426"/>
        </w:tabs>
        <w:ind w:left="426"/>
        <w:rPr>
          <w:rFonts w:ascii="Times New Roman" w:hAnsi="Times New Roman"/>
          <w:sz w:val="24"/>
        </w:rPr>
      </w:pPr>
      <w:r>
        <w:t>Sekreterare</w:t>
      </w:r>
      <w:r>
        <w:tab/>
      </w:r>
      <w:r>
        <w:tab/>
      </w:r>
      <w:r>
        <w:tab/>
      </w:r>
      <w:r>
        <w:tab/>
        <w:t>Ordförande</w:t>
      </w:r>
    </w:p>
    <w:p w:rsidR="00E529F8" w:rsidRDefault="00E529F8"/>
    <w:p w:rsidR="00A45DB8" w:rsidRDefault="00A45DB8"/>
    <w:p w:rsidR="00A45DB8" w:rsidRDefault="00A45DB8">
      <w:pPr>
        <w:rPr>
          <w:rFonts w:asciiTheme="majorHAnsi" w:eastAsiaTheme="majorEastAsia" w:hAnsiTheme="majorHAnsi" w:cstheme="majorBidi"/>
          <w:b/>
          <w:sz w:val="26"/>
          <w:szCs w:val="26"/>
        </w:rPr>
      </w:pPr>
      <w:r>
        <w:rPr>
          <w:b/>
        </w:rPr>
        <w:br w:type="page"/>
      </w:r>
    </w:p>
    <w:p w:rsidR="006822C8" w:rsidRPr="00A45DB8" w:rsidRDefault="006822C8" w:rsidP="00A45DB8">
      <w:pPr>
        <w:pStyle w:val="Rubrik2"/>
        <w:rPr>
          <w:b/>
          <w:color w:val="auto"/>
        </w:rPr>
      </w:pPr>
      <w:bookmarkStart w:id="0" w:name="_GoBack"/>
      <w:bookmarkEnd w:id="0"/>
      <w:r w:rsidRPr="00A45DB8">
        <w:rPr>
          <w:b/>
          <w:color w:val="auto"/>
        </w:rPr>
        <w:lastRenderedPageBreak/>
        <w:t>Beslutslista</w:t>
      </w:r>
    </w:p>
    <w:tbl>
      <w:tblPr>
        <w:tblStyle w:val="Tabellrutnt"/>
        <w:tblW w:w="9645" w:type="dxa"/>
        <w:tblInd w:w="-147" w:type="dxa"/>
        <w:tblLayout w:type="fixed"/>
        <w:tblLook w:val="04A0" w:firstRow="1" w:lastRow="0" w:firstColumn="1" w:lastColumn="0" w:noHBand="0" w:noVBand="1"/>
      </w:tblPr>
      <w:tblGrid>
        <w:gridCol w:w="1418"/>
        <w:gridCol w:w="4820"/>
        <w:gridCol w:w="1137"/>
        <w:gridCol w:w="1272"/>
        <w:gridCol w:w="998"/>
      </w:tblGrid>
      <w:tr w:rsidR="006822C8" w:rsidTr="00980B6B">
        <w:tc>
          <w:tcPr>
            <w:tcW w:w="1418" w:type="dxa"/>
            <w:tcBorders>
              <w:top w:val="single" w:sz="4" w:space="0" w:color="auto"/>
              <w:left w:val="single" w:sz="4" w:space="0" w:color="auto"/>
              <w:bottom w:val="single" w:sz="4" w:space="0" w:color="auto"/>
              <w:right w:val="single" w:sz="4" w:space="0" w:color="auto"/>
            </w:tcBorders>
            <w:hideMark/>
          </w:tcPr>
          <w:p w:rsidR="006822C8" w:rsidRDefault="006822C8">
            <w:pPr>
              <w:tabs>
                <w:tab w:val="num" w:pos="426"/>
              </w:tabs>
              <w:rPr>
                <w:sz w:val="24"/>
              </w:rPr>
            </w:pPr>
            <w:r>
              <w:t>Beslutsdatum</w:t>
            </w:r>
          </w:p>
        </w:tc>
        <w:tc>
          <w:tcPr>
            <w:tcW w:w="4820" w:type="dxa"/>
            <w:tcBorders>
              <w:top w:val="single" w:sz="4" w:space="0" w:color="auto"/>
              <w:left w:val="single" w:sz="4" w:space="0" w:color="auto"/>
              <w:bottom w:val="single" w:sz="4" w:space="0" w:color="auto"/>
              <w:right w:val="single" w:sz="4" w:space="0" w:color="auto"/>
            </w:tcBorders>
            <w:hideMark/>
          </w:tcPr>
          <w:p w:rsidR="006822C8" w:rsidRDefault="006822C8">
            <w:pPr>
              <w:tabs>
                <w:tab w:val="num" w:pos="426"/>
              </w:tabs>
            </w:pPr>
            <w:r>
              <w:t>Aktivitet</w:t>
            </w:r>
          </w:p>
        </w:tc>
        <w:tc>
          <w:tcPr>
            <w:tcW w:w="1137" w:type="dxa"/>
            <w:tcBorders>
              <w:top w:val="single" w:sz="4" w:space="0" w:color="auto"/>
              <w:left w:val="single" w:sz="4" w:space="0" w:color="auto"/>
              <w:bottom w:val="single" w:sz="4" w:space="0" w:color="auto"/>
              <w:right w:val="single" w:sz="4" w:space="0" w:color="auto"/>
            </w:tcBorders>
            <w:hideMark/>
          </w:tcPr>
          <w:p w:rsidR="006822C8" w:rsidRDefault="006822C8">
            <w:pPr>
              <w:tabs>
                <w:tab w:val="num" w:pos="426"/>
              </w:tabs>
            </w:pPr>
            <w:r>
              <w:t>Förväntat klart</w:t>
            </w:r>
          </w:p>
        </w:tc>
        <w:tc>
          <w:tcPr>
            <w:tcW w:w="1272" w:type="dxa"/>
            <w:tcBorders>
              <w:top w:val="single" w:sz="4" w:space="0" w:color="auto"/>
              <w:left w:val="single" w:sz="4" w:space="0" w:color="auto"/>
              <w:bottom w:val="single" w:sz="4" w:space="0" w:color="auto"/>
              <w:right w:val="single" w:sz="4" w:space="0" w:color="auto"/>
            </w:tcBorders>
            <w:hideMark/>
          </w:tcPr>
          <w:p w:rsidR="006822C8" w:rsidRDefault="006822C8">
            <w:pPr>
              <w:tabs>
                <w:tab w:val="num" w:pos="426"/>
              </w:tabs>
            </w:pPr>
            <w:r>
              <w:t>Ansvarig</w:t>
            </w:r>
          </w:p>
        </w:tc>
        <w:tc>
          <w:tcPr>
            <w:tcW w:w="998" w:type="dxa"/>
            <w:tcBorders>
              <w:top w:val="single" w:sz="4" w:space="0" w:color="auto"/>
              <w:left w:val="single" w:sz="4" w:space="0" w:color="auto"/>
              <w:bottom w:val="single" w:sz="4" w:space="0" w:color="auto"/>
              <w:right w:val="single" w:sz="4" w:space="0" w:color="auto"/>
            </w:tcBorders>
            <w:hideMark/>
          </w:tcPr>
          <w:p w:rsidR="006822C8" w:rsidRDefault="006822C8">
            <w:pPr>
              <w:tabs>
                <w:tab w:val="num" w:pos="426"/>
              </w:tabs>
            </w:pPr>
            <w:r>
              <w:t>Klart</w:t>
            </w:r>
          </w:p>
        </w:tc>
      </w:tr>
      <w:tr w:rsidR="00A81E63" w:rsidTr="00980B6B">
        <w:tc>
          <w:tcPr>
            <w:tcW w:w="1418"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2017-03-02</w:t>
            </w:r>
          </w:p>
        </w:tc>
        <w:tc>
          <w:tcPr>
            <w:tcW w:w="4820"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Uppdatering av medlemslistan för bitumenutskottet</w:t>
            </w:r>
          </w:p>
        </w:tc>
        <w:tc>
          <w:tcPr>
            <w:tcW w:w="1137"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2017-08</w:t>
            </w:r>
          </w:p>
        </w:tc>
        <w:tc>
          <w:tcPr>
            <w:tcW w:w="1272"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 xml:space="preserve">Emelie, </w:t>
            </w:r>
          </w:p>
        </w:tc>
        <w:tc>
          <w:tcPr>
            <w:tcW w:w="998"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p>
        </w:tc>
      </w:tr>
      <w:tr w:rsidR="00A81E63" w:rsidTr="00980B6B">
        <w:tc>
          <w:tcPr>
            <w:tcW w:w="1418"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2017-03-02</w:t>
            </w:r>
          </w:p>
        </w:tc>
        <w:tc>
          <w:tcPr>
            <w:tcW w:w="4820"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Uppdatera metodhandledning EN 1427</w:t>
            </w:r>
          </w:p>
        </w:tc>
        <w:tc>
          <w:tcPr>
            <w:tcW w:w="1137"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2017-08</w:t>
            </w:r>
          </w:p>
        </w:tc>
        <w:tc>
          <w:tcPr>
            <w:tcW w:w="1272"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r>
              <w:t>Emelie, Madelaine, Michael</w:t>
            </w:r>
          </w:p>
        </w:tc>
        <w:tc>
          <w:tcPr>
            <w:tcW w:w="998" w:type="dxa"/>
            <w:tcBorders>
              <w:top w:val="single" w:sz="4" w:space="0" w:color="auto"/>
              <w:left w:val="single" w:sz="4" w:space="0" w:color="auto"/>
              <w:bottom w:val="single" w:sz="4" w:space="0" w:color="auto"/>
              <w:right w:val="single" w:sz="4" w:space="0" w:color="auto"/>
            </w:tcBorders>
          </w:tcPr>
          <w:p w:rsidR="00A81E63" w:rsidRDefault="00A81E63">
            <w:pPr>
              <w:tabs>
                <w:tab w:val="num" w:pos="426"/>
              </w:tabs>
            </w:pPr>
          </w:p>
        </w:tc>
      </w:tr>
      <w:tr w:rsidR="00A81E63" w:rsidTr="00980B6B">
        <w:trPr>
          <w:trHeight w:val="617"/>
        </w:trPr>
        <w:tc>
          <w:tcPr>
            <w:tcW w:w="1418"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r>
              <w:t>2017-03-02</w:t>
            </w:r>
          </w:p>
        </w:tc>
        <w:tc>
          <w:tcPr>
            <w:tcW w:w="4820"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r>
              <w:t>Sammankallande för metodhandledning för SS-EN 12595:2014 kinematisk viskositet</w:t>
            </w:r>
          </w:p>
        </w:tc>
        <w:tc>
          <w:tcPr>
            <w:tcW w:w="1137"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r>
              <w:t>2017-08</w:t>
            </w:r>
          </w:p>
        </w:tc>
        <w:tc>
          <w:tcPr>
            <w:tcW w:w="1272"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r>
              <w:t xml:space="preserve">Bengt </w:t>
            </w:r>
          </w:p>
        </w:tc>
        <w:tc>
          <w:tcPr>
            <w:tcW w:w="998"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r>
      <w:tr w:rsidR="0058479A" w:rsidTr="00980B6B">
        <w:tc>
          <w:tcPr>
            <w:tcW w:w="1418" w:type="dxa"/>
            <w:tcBorders>
              <w:top w:val="single" w:sz="4" w:space="0" w:color="auto"/>
              <w:left w:val="single" w:sz="4" w:space="0" w:color="auto"/>
              <w:bottom w:val="single" w:sz="4" w:space="0" w:color="auto"/>
              <w:right w:val="single" w:sz="4" w:space="0" w:color="auto"/>
            </w:tcBorders>
          </w:tcPr>
          <w:p w:rsidR="0058479A" w:rsidRDefault="0058479A" w:rsidP="00A81E63">
            <w:pPr>
              <w:tabs>
                <w:tab w:val="num" w:pos="426"/>
              </w:tabs>
            </w:pPr>
            <w:r>
              <w:t>2017-03-02</w:t>
            </w:r>
          </w:p>
        </w:tc>
        <w:tc>
          <w:tcPr>
            <w:tcW w:w="4820" w:type="dxa"/>
            <w:tcBorders>
              <w:top w:val="single" w:sz="4" w:space="0" w:color="auto"/>
              <w:left w:val="single" w:sz="4" w:space="0" w:color="auto"/>
              <w:bottom w:val="single" w:sz="4" w:space="0" w:color="auto"/>
              <w:right w:val="single" w:sz="4" w:space="0" w:color="auto"/>
            </w:tcBorders>
          </w:tcPr>
          <w:p w:rsidR="0058479A" w:rsidRDefault="0058479A" w:rsidP="00A81E63">
            <w:pPr>
              <w:tabs>
                <w:tab w:val="num" w:pos="426"/>
              </w:tabs>
            </w:pPr>
            <w:r>
              <w:t>Deltagande i ringanalysgruppen och inspel om bitumenutskottets önskemål</w:t>
            </w:r>
          </w:p>
        </w:tc>
        <w:tc>
          <w:tcPr>
            <w:tcW w:w="1137" w:type="dxa"/>
            <w:tcBorders>
              <w:top w:val="single" w:sz="4" w:space="0" w:color="auto"/>
              <w:left w:val="single" w:sz="4" w:space="0" w:color="auto"/>
              <w:bottom w:val="single" w:sz="4" w:space="0" w:color="auto"/>
              <w:right w:val="single" w:sz="4" w:space="0" w:color="auto"/>
            </w:tcBorders>
          </w:tcPr>
          <w:p w:rsidR="0058479A" w:rsidRDefault="0058479A" w:rsidP="00A81E63">
            <w:pPr>
              <w:tabs>
                <w:tab w:val="num" w:pos="426"/>
              </w:tabs>
            </w:pPr>
            <w:r>
              <w:t>2017-09</w:t>
            </w:r>
          </w:p>
        </w:tc>
        <w:tc>
          <w:tcPr>
            <w:tcW w:w="1272" w:type="dxa"/>
            <w:tcBorders>
              <w:top w:val="single" w:sz="4" w:space="0" w:color="auto"/>
              <w:left w:val="single" w:sz="4" w:space="0" w:color="auto"/>
              <w:bottom w:val="single" w:sz="4" w:space="0" w:color="auto"/>
              <w:right w:val="single" w:sz="4" w:space="0" w:color="auto"/>
            </w:tcBorders>
          </w:tcPr>
          <w:p w:rsidR="0058479A" w:rsidRDefault="0058479A" w:rsidP="00A81E63">
            <w:pPr>
              <w:tabs>
                <w:tab w:val="num" w:pos="426"/>
              </w:tabs>
            </w:pPr>
            <w:r>
              <w:t>Emelie</w:t>
            </w:r>
          </w:p>
        </w:tc>
        <w:tc>
          <w:tcPr>
            <w:tcW w:w="998" w:type="dxa"/>
            <w:tcBorders>
              <w:top w:val="single" w:sz="4" w:space="0" w:color="auto"/>
              <w:left w:val="single" w:sz="4" w:space="0" w:color="auto"/>
              <w:bottom w:val="single" w:sz="4" w:space="0" w:color="auto"/>
              <w:right w:val="single" w:sz="4" w:space="0" w:color="auto"/>
            </w:tcBorders>
          </w:tcPr>
          <w:p w:rsidR="0058479A" w:rsidRDefault="0058479A" w:rsidP="00A81E63">
            <w:pPr>
              <w:tabs>
                <w:tab w:val="num" w:pos="426"/>
              </w:tabs>
            </w:pPr>
          </w:p>
        </w:tc>
      </w:tr>
      <w:tr w:rsidR="0058479A" w:rsidTr="00980B6B">
        <w:tc>
          <w:tcPr>
            <w:tcW w:w="1418" w:type="dxa"/>
            <w:tcBorders>
              <w:top w:val="single" w:sz="4" w:space="0" w:color="auto"/>
              <w:left w:val="single" w:sz="4" w:space="0" w:color="auto"/>
              <w:bottom w:val="single" w:sz="4" w:space="0" w:color="auto"/>
              <w:right w:val="single" w:sz="4" w:space="0" w:color="auto"/>
            </w:tcBorders>
          </w:tcPr>
          <w:p w:rsidR="0058479A" w:rsidRDefault="00E679D1" w:rsidP="00A81E63">
            <w:pPr>
              <w:tabs>
                <w:tab w:val="num" w:pos="426"/>
              </w:tabs>
            </w:pPr>
            <w:r>
              <w:t>2017-03-02</w:t>
            </w:r>
          </w:p>
        </w:tc>
        <w:tc>
          <w:tcPr>
            <w:tcW w:w="4820" w:type="dxa"/>
            <w:tcBorders>
              <w:top w:val="single" w:sz="4" w:space="0" w:color="auto"/>
              <w:left w:val="single" w:sz="4" w:space="0" w:color="auto"/>
              <w:bottom w:val="single" w:sz="4" w:space="0" w:color="auto"/>
              <w:right w:val="single" w:sz="4" w:space="0" w:color="auto"/>
            </w:tcBorders>
          </w:tcPr>
          <w:p w:rsidR="0058479A" w:rsidRDefault="00E679D1" w:rsidP="00A81E63">
            <w:pPr>
              <w:tabs>
                <w:tab w:val="num" w:pos="426"/>
              </w:tabs>
            </w:pPr>
            <w:r>
              <w:t>Information kring jämförelse fillerbrytindex</w:t>
            </w:r>
          </w:p>
        </w:tc>
        <w:tc>
          <w:tcPr>
            <w:tcW w:w="1137" w:type="dxa"/>
            <w:tcBorders>
              <w:top w:val="single" w:sz="4" w:space="0" w:color="auto"/>
              <w:left w:val="single" w:sz="4" w:space="0" w:color="auto"/>
              <w:bottom w:val="single" w:sz="4" w:space="0" w:color="auto"/>
              <w:right w:val="single" w:sz="4" w:space="0" w:color="auto"/>
            </w:tcBorders>
          </w:tcPr>
          <w:p w:rsidR="0058479A" w:rsidRDefault="00E679D1" w:rsidP="00A81E63">
            <w:pPr>
              <w:tabs>
                <w:tab w:val="num" w:pos="426"/>
              </w:tabs>
            </w:pPr>
            <w:r>
              <w:t>2017-04</w:t>
            </w:r>
          </w:p>
        </w:tc>
        <w:tc>
          <w:tcPr>
            <w:tcW w:w="1272" w:type="dxa"/>
            <w:tcBorders>
              <w:top w:val="single" w:sz="4" w:space="0" w:color="auto"/>
              <w:left w:val="single" w:sz="4" w:space="0" w:color="auto"/>
              <w:bottom w:val="single" w:sz="4" w:space="0" w:color="auto"/>
              <w:right w:val="single" w:sz="4" w:space="0" w:color="auto"/>
            </w:tcBorders>
          </w:tcPr>
          <w:p w:rsidR="0058479A" w:rsidRDefault="00E679D1" w:rsidP="00A81E63">
            <w:pPr>
              <w:tabs>
                <w:tab w:val="num" w:pos="426"/>
              </w:tabs>
            </w:pPr>
            <w:r>
              <w:t>Patrik</w:t>
            </w:r>
          </w:p>
        </w:tc>
        <w:tc>
          <w:tcPr>
            <w:tcW w:w="998" w:type="dxa"/>
            <w:tcBorders>
              <w:top w:val="single" w:sz="4" w:space="0" w:color="auto"/>
              <w:left w:val="single" w:sz="4" w:space="0" w:color="auto"/>
              <w:bottom w:val="single" w:sz="4" w:space="0" w:color="auto"/>
              <w:right w:val="single" w:sz="4" w:space="0" w:color="auto"/>
            </w:tcBorders>
          </w:tcPr>
          <w:p w:rsidR="0058479A" w:rsidRDefault="0058479A" w:rsidP="00A81E63">
            <w:pPr>
              <w:tabs>
                <w:tab w:val="num" w:pos="426"/>
              </w:tabs>
            </w:pPr>
          </w:p>
        </w:tc>
      </w:tr>
      <w:tr w:rsidR="00932823" w:rsidTr="00980B6B">
        <w:tc>
          <w:tcPr>
            <w:tcW w:w="1418" w:type="dxa"/>
            <w:tcBorders>
              <w:top w:val="single" w:sz="4" w:space="0" w:color="auto"/>
              <w:left w:val="single" w:sz="4" w:space="0" w:color="auto"/>
              <w:bottom w:val="single" w:sz="4" w:space="0" w:color="auto"/>
              <w:right w:val="single" w:sz="4" w:space="0" w:color="auto"/>
            </w:tcBorders>
          </w:tcPr>
          <w:p w:rsidR="00932823" w:rsidRDefault="00121402" w:rsidP="00A81E63">
            <w:pPr>
              <w:tabs>
                <w:tab w:val="num" w:pos="426"/>
              </w:tabs>
            </w:pPr>
            <w:r>
              <w:t>2017-03-02</w:t>
            </w:r>
          </w:p>
        </w:tc>
        <w:tc>
          <w:tcPr>
            <w:tcW w:w="4820" w:type="dxa"/>
            <w:tcBorders>
              <w:top w:val="single" w:sz="4" w:space="0" w:color="auto"/>
              <w:left w:val="single" w:sz="4" w:space="0" w:color="auto"/>
              <w:bottom w:val="single" w:sz="4" w:space="0" w:color="auto"/>
              <w:right w:val="single" w:sz="4" w:space="0" w:color="auto"/>
            </w:tcBorders>
          </w:tcPr>
          <w:p w:rsidR="00932823" w:rsidRDefault="00980B6B" w:rsidP="00A81E63">
            <w:pPr>
              <w:tabs>
                <w:tab w:val="num" w:pos="426"/>
              </w:tabs>
            </w:pPr>
            <w:r>
              <w:t>Till nästa möte: Fundera på vilka som kan ingå i en grupp för metodhandledning till PMB. Förslag på föredrag till metoddagen 2018</w:t>
            </w:r>
          </w:p>
        </w:tc>
        <w:tc>
          <w:tcPr>
            <w:tcW w:w="1137" w:type="dxa"/>
            <w:tcBorders>
              <w:top w:val="single" w:sz="4" w:space="0" w:color="auto"/>
              <w:left w:val="single" w:sz="4" w:space="0" w:color="auto"/>
              <w:bottom w:val="single" w:sz="4" w:space="0" w:color="auto"/>
              <w:right w:val="single" w:sz="4" w:space="0" w:color="auto"/>
            </w:tcBorders>
          </w:tcPr>
          <w:p w:rsidR="00932823" w:rsidRDefault="00980B6B" w:rsidP="00A81E63">
            <w:pPr>
              <w:tabs>
                <w:tab w:val="num" w:pos="426"/>
              </w:tabs>
            </w:pPr>
            <w:r>
              <w:t>2017-08</w:t>
            </w:r>
          </w:p>
        </w:tc>
        <w:tc>
          <w:tcPr>
            <w:tcW w:w="1272" w:type="dxa"/>
            <w:tcBorders>
              <w:top w:val="single" w:sz="4" w:space="0" w:color="auto"/>
              <w:left w:val="single" w:sz="4" w:space="0" w:color="auto"/>
              <w:bottom w:val="single" w:sz="4" w:space="0" w:color="auto"/>
              <w:right w:val="single" w:sz="4" w:space="0" w:color="auto"/>
            </w:tcBorders>
          </w:tcPr>
          <w:p w:rsidR="00932823" w:rsidRDefault="00980B6B" w:rsidP="00A81E63">
            <w:pPr>
              <w:tabs>
                <w:tab w:val="num" w:pos="426"/>
              </w:tabs>
            </w:pPr>
            <w:r>
              <w:t>Alla</w:t>
            </w:r>
          </w:p>
        </w:tc>
        <w:tc>
          <w:tcPr>
            <w:tcW w:w="998" w:type="dxa"/>
            <w:tcBorders>
              <w:top w:val="single" w:sz="4" w:space="0" w:color="auto"/>
              <w:left w:val="single" w:sz="4" w:space="0" w:color="auto"/>
              <w:bottom w:val="single" w:sz="4" w:space="0" w:color="auto"/>
              <w:right w:val="single" w:sz="4" w:space="0" w:color="auto"/>
            </w:tcBorders>
          </w:tcPr>
          <w:p w:rsidR="00932823" w:rsidRDefault="00932823" w:rsidP="00A81E63">
            <w:pPr>
              <w:tabs>
                <w:tab w:val="num" w:pos="426"/>
              </w:tabs>
            </w:pPr>
          </w:p>
        </w:tc>
      </w:tr>
      <w:tr w:rsidR="00A81E63" w:rsidTr="00CB1356">
        <w:tc>
          <w:tcPr>
            <w:tcW w:w="1418"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2016-04-19</w:t>
            </w:r>
          </w:p>
        </w:tc>
        <w:tc>
          <w:tcPr>
            <w:tcW w:w="4820"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 xml:space="preserve">Undersöka om det finns laboratorier som är ackrediterade för bitumen provning som inte deltar i Nestes ringanalyser </w:t>
            </w:r>
          </w:p>
        </w:tc>
        <w:tc>
          <w:tcPr>
            <w:tcW w:w="1137"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2016-11</w:t>
            </w:r>
          </w:p>
        </w:tc>
        <w:tc>
          <w:tcPr>
            <w:tcW w:w="1272"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Emelie, VTI</w:t>
            </w:r>
          </w:p>
        </w:tc>
        <w:tc>
          <w:tcPr>
            <w:tcW w:w="998" w:type="dxa"/>
            <w:tcBorders>
              <w:top w:val="single" w:sz="4" w:space="0" w:color="auto"/>
              <w:left w:val="single" w:sz="4" w:space="0" w:color="auto"/>
              <w:bottom w:val="single" w:sz="4" w:space="0" w:color="auto"/>
              <w:right w:val="single" w:sz="4" w:space="0" w:color="auto"/>
            </w:tcBorders>
            <w:shd w:val="clear" w:color="auto" w:fill="00F26D"/>
          </w:tcPr>
          <w:p w:rsidR="00A81E63" w:rsidRDefault="003F56C8" w:rsidP="00A81E63">
            <w:pPr>
              <w:tabs>
                <w:tab w:val="num" w:pos="426"/>
              </w:tabs>
            </w:pPr>
            <w:r>
              <w:t xml:space="preserve">2017 </w:t>
            </w:r>
            <w:r>
              <w:br/>
              <w:t xml:space="preserve">Två </w:t>
            </w:r>
            <w:proofErr w:type="spellStart"/>
            <w:r>
              <w:t>st</w:t>
            </w:r>
            <w:proofErr w:type="spellEnd"/>
          </w:p>
        </w:tc>
      </w:tr>
      <w:tr w:rsidR="00A81E63" w:rsidTr="00980B6B">
        <w:tc>
          <w:tcPr>
            <w:tcW w:w="1418"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2016-04-19</w:t>
            </w:r>
          </w:p>
        </w:tc>
        <w:tc>
          <w:tcPr>
            <w:tcW w:w="4820"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Metodhandledning MSCRT när vi fått mer erfarenhet kring metoden</w:t>
            </w:r>
          </w:p>
        </w:tc>
        <w:tc>
          <w:tcPr>
            <w:tcW w:w="1137"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c>
          <w:tcPr>
            <w:tcW w:w="1272"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c>
          <w:tcPr>
            <w:tcW w:w="998"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r>
      <w:tr w:rsidR="00A81E63" w:rsidTr="00980B6B">
        <w:tc>
          <w:tcPr>
            <w:tcW w:w="1418"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2016-04-19</w:t>
            </w:r>
          </w:p>
        </w:tc>
        <w:tc>
          <w:tcPr>
            <w:tcW w:w="4820"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Metodhandledning indunstning av emulsion med efterföljande provberedning</w:t>
            </w:r>
          </w:p>
        </w:tc>
        <w:tc>
          <w:tcPr>
            <w:tcW w:w="1137"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c>
          <w:tcPr>
            <w:tcW w:w="1272"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c>
          <w:tcPr>
            <w:tcW w:w="998"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r>
      <w:tr w:rsidR="00A81E63" w:rsidTr="00980B6B">
        <w:tc>
          <w:tcPr>
            <w:tcW w:w="1418"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2016-04-19</w:t>
            </w:r>
          </w:p>
        </w:tc>
        <w:tc>
          <w:tcPr>
            <w:tcW w:w="4820"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Metodhandledning SS-EN 13302 när ny utgåva publicerats</w:t>
            </w:r>
          </w:p>
        </w:tc>
        <w:tc>
          <w:tcPr>
            <w:tcW w:w="1137"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c>
          <w:tcPr>
            <w:tcW w:w="1272"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c>
          <w:tcPr>
            <w:tcW w:w="998"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r>
      <w:tr w:rsidR="00A81E63" w:rsidTr="00980B6B">
        <w:tc>
          <w:tcPr>
            <w:tcW w:w="1418"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2016-04-19</w:t>
            </w:r>
          </w:p>
        </w:tc>
        <w:tc>
          <w:tcPr>
            <w:tcW w:w="4820"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Metodhandledning för SS-EN 12595:2014 kinematisk viskositet</w:t>
            </w:r>
          </w:p>
        </w:tc>
        <w:tc>
          <w:tcPr>
            <w:tcW w:w="1137"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2016-11</w:t>
            </w:r>
          </w:p>
        </w:tc>
        <w:tc>
          <w:tcPr>
            <w:tcW w:w="1272"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Helene, Nynas</w:t>
            </w:r>
          </w:p>
        </w:tc>
        <w:tc>
          <w:tcPr>
            <w:tcW w:w="998"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r>
      <w:tr w:rsidR="00A81E63" w:rsidTr="00CB1356">
        <w:tc>
          <w:tcPr>
            <w:tcW w:w="1418"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2015-10-24</w:t>
            </w:r>
          </w:p>
        </w:tc>
        <w:tc>
          <w:tcPr>
            <w:tcW w:w="4820"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Arbetsgrupp för versionsjämförelse och metodhandledningar för penetration, mjukpunkt och Fraass brytpunkt.</w:t>
            </w:r>
          </w:p>
        </w:tc>
        <w:tc>
          <w:tcPr>
            <w:tcW w:w="1137"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2016-04</w:t>
            </w:r>
          </w:p>
        </w:tc>
        <w:tc>
          <w:tcPr>
            <w:tcW w:w="1272"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Emelie, VTI</w:t>
            </w:r>
          </w:p>
        </w:tc>
        <w:tc>
          <w:tcPr>
            <w:tcW w:w="998" w:type="dxa"/>
            <w:tcBorders>
              <w:top w:val="single" w:sz="4" w:space="0" w:color="auto"/>
              <w:left w:val="single" w:sz="4" w:space="0" w:color="auto"/>
              <w:bottom w:val="single" w:sz="4" w:space="0" w:color="auto"/>
              <w:right w:val="single" w:sz="4" w:space="0" w:color="auto"/>
            </w:tcBorders>
            <w:shd w:val="clear" w:color="auto" w:fill="00F26D"/>
            <w:hideMark/>
          </w:tcPr>
          <w:p w:rsidR="00A81E63" w:rsidRDefault="00A81E63" w:rsidP="00A81E63">
            <w:pPr>
              <w:tabs>
                <w:tab w:val="num" w:pos="426"/>
              </w:tabs>
            </w:pPr>
            <w:r>
              <w:t>2016-04</w:t>
            </w:r>
          </w:p>
        </w:tc>
      </w:tr>
      <w:tr w:rsidR="00A81E63" w:rsidTr="00980B6B">
        <w:tc>
          <w:tcPr>
            <w:tcW w:w="1418"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2015-10-24</w:t>
            </w:r>
          </w:p>
        </w:tc>
        <w:tc>
          <w:tcPr>
            <w:tcW w:w="4820"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 xml:space="preserve">Möte och eventuellt SBUF projekt om indunstning av emulsioner, främst polymermodifierade. </w:t>
            </w:r>
          </w:p>
        </w:tc>
        <w:tc>
          <w:tcPr>
            <w:tcW w:w="1137"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c>
          <w:tcPr>
            <w:tcW w:w="1272" w:type="dxa"/>
            <w:tcBorders>
              <w:top w:val="single" w:sz="4" w:space="0" w:color="auto"/>
              <w:left w:val="single" w:sz="4" w:space="0" w:color="auto"/>
              <w:bottom w:val="single" w:sz="4" w:space="0" w:color="auto"/>
              <w:right w:val="single" w:sz="4" w:space="0" w:color="auto"/>
            </w:tcBorders>
            <w:hideMark/>
          </w:tcPr>
          <w:p w:rsidR="00A81E63" w:rsidRDefault="00A81E63" w:rsidP="00A81E63">
            <w:pPr>
              <w:tabs>
                <w:tab w:val="num" w:pos="426"/>
              </w:tabs>
            </w:pPr>
            <w:r>
              <w:t>Torsten,</w:t>
            </w:r>
          </w:p>
          <w:p w:rsidR="00A81E63" w:rsidRDefault="00A81E63" w:rsidP="00A81E63">
            <w:pPr>
              <w:tabs>
                <w:tab w:val="num" w:pos="426"/>
              </w:tabs>
            </w:pPr>
            <w:r>
              <w:t>TRV</w:t>
            </w:r>
          </w:p>
        </w:tc>
        <w:tc>
          <w:tcPr>
            <w:tcW w:w="998" w:type="dxa"/>
            <w:tcBorders>
              <w:top w:val="single" w:sz="4" w:space="0" w:color="auto"/>
              <w:left w:val="single" w:sz="4" w:space="0" w:color="auto"/>
              <w:bottom w:val="single" w:sz="4" w:space="0" w:color="auto"/>
              <w:right w:val="single" w:sz="4" w:space="0" w:color="auto"/>
            </w:tcBorders>
          </w:tcPr>
          <w:p w:rsidR="00A81E63" w:rsidRDefault="00A81E63" w:rsidP="00A81E63">
            <w:pPr>
              <w:tabs>
                <w:tab w:val="num" w:pos="426"/>
              </w:tabs>
            </w:pPr>
          </w:p>
        </w:tc>
      </w:tr>
    </w:tbl>
    <w:p w:rsidR="006822C8" w:rsidRDefault="006822C8" w:rsidP="006822C8">
      <w:pPr>
        <w:tabs>
          <w:tab w:val="num" w:pos="426"/>
        </w:tabs>
        <w:ind w:left="426"/>
        <w:rPr>
          <w:szCs w:val="20"/>
        </w:rPr>
      </w:pPr>
    </w:p>
    <w:p w:rsidR="00EF758C" w:rsidRDefault="00CD3575" w:rsidP="004F5938">
      <w:r>
        <w:br/>
      </w:r>
    </w:p>
    <w:p w:rsidR="00AC3570" w:rsidRDefault="00701508" w:rsidP="00F821DA">
      <w:r>
        <w:t xml:space="preserve"> </w:t>
      </w:r>
    </w:p>
    <w:sectPr w:rsidR="00AC3570" w:rsidSect="00E529F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CF4" w:rsidRDefault="003B5CF4" w:rsidP="00E529F8">
      <w:pPr>
        <w:spacing w:after="0" w:line="240" w:lineRule="auto"/>
      </w:pPr>
      <w:r>
        <w:separator/>
      </w:r>
    </w:p>
  </w:endnote>
  <w:endnote w:type="continuationSeparator" w:id="0">
    <w:p w:rsidR="003B5CF4" w:rsidRDefault="003B5CF4" w:rsidP="00E5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CF4" w:rsidRDefault="003B5CF4" w:rsidP="00E529F8">
      <w:pPr>
        <w:spacing w:after="0" w:line="240" w:lineRule="auto"/>
      </w:pPr>
      <w:r>
        <w:separator/>
      </w:r>
    </w:p>
  </w:footnote>
  <w:footnote w:type="continuationSeparator" w:id="0">
    <w:p w:rsidR="003B5CF4" w:rsidRDefault="003B5CF4" w:rsidP="00E5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F8" w:rsidRDefault="00E529F8">
    <w:pPr>
      <w:pStyle w:val="Sidhuvud"/>
    </w:pPr>
    <w:r>
      <w:rPr>
        <w:noProof/>
        <w:lang w:eastAsia="sv-SE"/>
      </w:rPr>
      <w:drawing>
        <wp:inline distT="0" distB="0" distL="0" distR="0" wp14:anchorId="5FE85F75" wp14:editId="70A2ECD5">
          <wp:extent cx="541268" cy="542632"/>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rsidRPr="00E529F8">
      <w:rPr>
        <w:rFonts w:ascii="Arial" w:hAnsi="Arial" w:cs="Arial"/>
        <w:sz w:val="28"/>
        <w:szCs w:val="28"/>
      </w:rPr>
      <w:t xml:space="preserve"> </w:t>
    </w:r>
    <w:r>
      <w:rPr>
        <w:rFonts w:ascii="Arial" w:hAnsi="Arial" w:cs="Arial"/>
        <w:sz w:val="28"/>
        <w:szCs w:val="28"/>
      </w:rPr>
      <w:tab/>
      <w:t>Möte i bitumenutskottet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44E0"/>
    <w:multiLevelType w:val="hybridMultilevel"/>
    <w:tmpl w:val="1D084454"/>
    <w:lvl w:ilvl="0" w:tplc="C416187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75"/>
    <w:rsid w:val="000146DD"/>
    <w:rsid w:val="0003303E"/>
    <w:rsid w:val="000E3B85"/>
    <w:rsid w:val="000E53BE"/>
    <w:rsid w:val="00121402"/>
    <w:rsid w:val="00162849"/>
    <w:rsid w:val="001F3F5B"/>
    <w:rsid w:val="00205DB0"/>
    <w:rsid w:val="00216AED"/>
    <w:rsid w:val="00243940"/>
    <w:rsid w:val="002777A9"/>
    <w:rsid w:val="002964A9"/>
    <w:rsid w:val="002A738E"/>
    <w:rsid w:val="002B186F"/>
    <w:rsid w:val="00300351"/>
    <w:rsid w:val="003048D0"/>
    <w:rsid w:val="00335C86"/>
    <w:rsid w:val="00345383"/>
    <w:rsid w:val="003717B1"/>
    <w:rsid w:val="0038575C"/>
    <w:rsid w:val="00395E6A"/>
    <w:rsid w:val="003A6139"/>
    <w:rsid w:val="003B5CF4"/>
    <w:rsid w:val="003D5511"/>
    <w:rsid w:val="003E0B46"/>
    <w:rsid w:val="003F56C8"/>
    <w:rsid w:val="00480B73"/>
    <w:rsid w:val="004D1062"/>
    <w:rsid w:val="004F5938"/>
    <w:rsid w:val="005575DE"/>
    <w:rsid w:val="0058479A"/>
    <w:rsid w:val="005B15D7"/>
    <w:rsid w:val="005D7CAA"/>
    <w:rsid w:val="005E1FA4"/>
    <w:rsid w:val="006822C8"/>
    <w:rsid w:val="006A3A24"/>
    <w:rsid w:val="006F0967"/>
    <w:rsid w:val="00701508"/>
    <w:rsid w:val="00705270"/>
    <w:rsid w:val="008301A5"/>
    <w:rsid w:val="00830E71"/>
    <w:rsid w:val="00842E5F"/>
    <w:rsid w:val="00845F2B"/>
    <w:rsid w:val="00846D58"/>
    <w:rsid w:val="008D1AEB"/>
    <w:rsid w:val="008D41C4"/>
    <w:rsid w:val="00901034"/>
    <w:rsid w:val="00922C42"/>
    <w:rsid w:val="00932823"/>
    <w:rsid w:val="00932A5D"/>
    <w:rsid w:val="00980B6B"/>
    <w:rsid w:val="009A5C15"/>
    <w:rsid w:val="009C6D48"/>
    <w:rsid w:val="009F0E74"/>
    <w:rsid w:val="00A2723A"/>
    <w:rsid w:val="00A4590B"/>
    <w:rsid w:val="00A45DB8"/>
    <w:rsid w:val="00A81E63"/>
    <w:rsid w:val="00AC3570"/>
    <w:rsid w:val="00C145D2"/>
    <w:rsid w:val="00C252EC"/>
    <w:rsid w:val="00C552D5"/>
    <w:rsid w:val="00CB1356"/>
    <w:rsid w:val="00CD3575"/>
    <w:rsid w:val="00D03024"/>
    <w:rsid w:val="00D70AEA"/>
    <w:rsid w:val="00DC5511"/>
    <w:rsid w:val="00E414D9"/>
    <w:rsid w:val="00E529F8"/>
    <w:rsid w:val="00E679D1"/>
    <w:rsid w:val="00EF27DD"/>
    <w:rsid w:val="00EF758C"/>
    <w:rsid w:val="00F40B2B"/>
    <w:rsid w:val="00F821DA"/>
    <w:rsid w:val="00F90C0A"/>
    <w:rsid w:val="00F95BCC"/>
    <w:rsid w:val="00FE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9C2B0"/>
  <w15:chartTrackingRefBased/>
  <w15:docId w15:val="{C271C22F-F2C5-456C-A37B-D2E76AAF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45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45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29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29F8"/>
  </w:style>
  <w:style w:type="paragraph" w:styleId="Sidfot">
    <w:name w:val="footer"/>
    <w:basedOn w:val="Normal"/>
    <w:link w:val="SidfotChar"/>
    <w:uiPriority w:val="99"/>
    <w:unhideWhenUsed/>
    <w:rsid w:val="00E529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29F8"/>
  </w:style>
  <w:style w:type="paragraph" w:styleId="Liststycke">
    <w:name w:val="List Paragraph"/>
    <w:basedOn w:val="Normal"/>
    <w:uiPriority w:val="34"/>
    <w:qFormat/>
    <w:rsid w:val="00922C42"/>
    <w:pPr>
      <w:ind w:left="720"/>
      <w:contextualSpacing/>
    </w:pPr>
  </w:style>
  <w:style w:type="character" w:customStyle="1" w:styleId="Rubrik1Char">
    <w:name w:val="Rubrik 1 Char"/>
    <w:basedOn w:val="Standardstycketeckensnitt"/>
    <w:link w:val="Rubrik1"/>
    <w:uiPriority w:val="9"/>
    <w:rsid w:val="0034538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45383"/>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830E71"/>
    <w:rPr>
      <w:color w:val="0563C1" w:themeColor="hyperlink"/>
      <w:u w:val="single"/>
    </w:rPr>
  </w:style>
  <w:style w:type="character" w:styleId="AnvndHyperlnk">
    <w:name w:val="FollowedHyperlink"/>
    <w:basedOn w:val="Standardstycketeckensnitt"/>
    <w:uiPriority w:val="99"/>
    <w:semiHidden/>
    <w:unhideWhenUsed/>
    <w:rsid w:val="00830E71"/>
    <w:rPr>
      <w:color w:val="954F72" w:themeColor="followedHyperlink"/>
      <w:u w:val="single"/>
    </w:rPr>
  </w:style>
  <w:style w:type="table" w:styleId="Tabellrutnt">
    <w:name w:val="Table Grid"/>
    <w:basedOn w:val="Normaltabell"/>
    <w:rsid w:val="006822C8"/>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263">
      <w:bodyDiv w:val="1"/>
      <w:marLeft w:val="0"/>
      <w:marRight w:val="0"/>
      <w:marTop w:val="0"/>
      <w:marBottom w:val="0"/>
      <w:divBdr>
        <w:top w:val="none" w:sz="0" w:space="0" w:color="auto"/>
        <w:left w:val="none" w:sz="0" w:space="0" w:color="auto"/>
        <w:bottom w:val="none" w:sz="0" w:space="0" w:color="auto"/>
        <w:right w:val="none" w:sz="0" w:space="0" w:color="auto"/>
      </w:divBdr>
    </w:div>
    <w:div w:id="117021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ton-paar.com/corp-en/services-support/seminar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todgruppen.nu/web/page.aspx?refid=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4</Pages>
  <Words>948</Words>
  <Characters>5028</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Karlsson</dc:creator>
  <cp:keywords/>
  <dc:description/>
  <cp:lastModifiedBy>Emelie Karlsson</cp:lastModifiedBy>
  <cp:revision>77</cp:revision>
  <dcterms:created xsi:type="dcterms:W3CDTF">2017-03-02T09:33:00Z</dcterms:created>
  <dcterms:modified xsi:type="dcterms:W3CDTF">2017-03-06T07:24:00Z</dcterms:modified>
</cp:coreProperties>
</file>