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7D" w:rsidRPr="00057963" w:rsidRDefault="0077148F" w:rsidP="0077148F">
      <w:pPr>
        <w:rPr>
          <w:i/>
          <w:lang w:val="sv-SE"/>
        </w:rPr>
      </w:pPr>
      <w:r>
        <w:rPr>
          <w:i/>
          <w:lang w:val="sv-SE"/>
        </w:rPr>
        <w:t xml:space="preserve">Detta dokument beskriver bakgrunden och de förutsättningar som ligger till grund för den metodmatris som utskottet tagit fram. </w:t>
      </w:r>
    </w:p>
    <w:p w:rsidR="002B0434" w:rsidRDefault="002B0434" w:rsidP="00470F7D">
      <w:pPr>
        <w:pStyle w:val="Rubrik1"/>
        <w:rPr>
          <w:lang w:val="sv-SE" w:eastAsia="sv-SE"/>
        </w:rPr>
      </w:pPr>
      <w:r>
        <w:rPr>
          <w:lang w:val="sv-SE" w:eastAsia="sv-SE"/>
        </w:rPr>
        <w:t>Övergripa</w:t>
      </w:r>
      <w:r w:rsidR="008916B0">
        <w:rPr>
          <w:lang w:val="sv-SE" w:eastAsia="sv-SE"/>
        </w:rPr>
        <w:t>n</w:t>
      </w:r>
      <w:r>
        <w:rPr>
          <w:lang w:val="sv-SE" w:eastAsia="sv-SE"/>
        </w:rPr>
        <w:t>de mål</w:t>
      </w:r>
    </w:p>
    <w:p w:rsidR="00BD41EC" w:rsidRDefault="00425D2B" w:rsidP="00CD38A5">
      <w:pPr>
        <w:rPr>
          <w:lang w:val="sv-SE" w:eastAsia="sv-SE"/>
        </w:rPr>
      </w:pPr>
      <w:r w:rsidRPr="00425D2B">
        <w:rPr>
          <w:lang w:val="sv-SE" w:eastAsia="sv-SE"/>
        </w:rPr>
        <w:t>Transportpolitikens övergripande mål, att säkerställa en samhällsekonomiskt effektiv och långsiktigt hållbar transportförsörjning för medborgarna och näringslivet i hela landet</w:t>
      </w:r>
      <w:r w:rsidR="00CD38A5">
        <w:rPr>
          <w:lang w:val="sv-SE" w:eastAsia="sv-SE"/>
        </w:rPr>
        <w:t xml:space="preserve"> </w:t>
      </w:r>
      <w:r w:rsidR="00075D6B">
        <w:rPr>
          <w:lang w:val="sv-SE" w:eastAsia="sv-SE"/>
        </w:rPr>
        <w:t>kvarstår. De tidigare transport</w:t>
      </w:r>
      <w:r w:rsidR="00CD38A5">
        <w:rPr>
          <w:lang w:val="sv-SE" w:eastAsia="sv-SE"/>
        </w:rPr>
        <w:t xml:space="preserve">politiska målen, </w:t>
      </w:r>
      <w:r w:rsidRPr="00425D2B">
        <w:rPr>
          <w:lang w:val="sv-SE" w:eastAsia="sv-SE"/>
        </w:rPr>
        <w:t>Ett tillgängligt transportsystem</w:t>
      </w:r>
      <w:r w:rsidR="00CD38A5">
        <w:rPr>
          <w:lang w:val="sv-SE" w:eastAsia="sv-SE"/>
        </w:rPr>
        <w:t xml:space="preserve">, </w:t>
      </w:r>
      <w:r w:rsidRPr="00425D2B">
        <w:rPr>
          <w:lang w:val="sv-SE" w:eastAsia="sv-SE"/>
        </w:rPr>
        <w:t>Hög transportkvalitet</w:t>
      </w:r>
      <w:r w:rsidR="00CD38A5">
        <w:rPr>
          <w:lang w:val="sv-SE" w:eastAsia="sv-SE"/>
        </w:rPr>
        <w:t xml:space="preserve">, </w:t>
      </w:r>
      <w:r w:rsidRPr="00425D2B">
        <w:rPr>
          <w:lang w:val="sv-SE" w:eastAsia="sv-SE"/>
        </w:rPr>
        <w:t>En positiv regional utveckling</w:t>
      </w:r>
      <w:r w:rsidR="00CD38A5">
        <w:rPr>
          <w:lang w:val="sv-SE" w:eastAsia="sv-SE"/>
        </w:rPr>
        <w:t xml:space="preserve">, </w:t>
      </w:r>
      <w:r w:rsidRPr="00425D2B">
        <w:rPr>
          <w:lang w:val="sv-SE" w:eastAsia="sv-SE"/>
        </w:rPr>
        <w:t>God miljö</w:t>
      </w:r>
      <w:r w:rsidR="00CD38A5">
        <w:rPr>
          <w:lang w:val="sv-SE" w:eastAsia="sv-SE"/>
        </w:rPr>
        <w:t xml:space="preserve">, </w:t>
      </w:r>
      <w:r w:rsidRPr="00425D2B">
        <w:rPr>
          <w:lang w:val="sv-SE" w:eastAsia="sv-SE"/>
        </w:rPr>
        <w:t>En säker trafik</w:t>
      </w:r>
      <w:r w:rsidR="00CD38A5">
        <w:rPr>
          <w:lang w:val="sv-SE" w:eastAsia="sv-SE"/>
        </w:rPr>
        <w:t xml:space="preserve"> och </w:t>
      </w:r>
      <w:r w:rsidRPr="00425D2B">
        <w:rPr>
          <w:lang w:val="sv-SE" w:eastAsia="sv-SE"/>
        </w:rPr>
        <w:t>Ett jämställt transportsystem</w:t>
      </w:r>
      <w:r w:rsidR="00CD38A5">
        <w:rPr>
          <w:lang w:val="sv-SE" w:eastAsia="sv-SE"/>
        </w:rPr>
        <w:t xml:space="preserve"> ersätt</w:t>
      </w:r>
      <w:r w:rsidR="00BD41EC">
        <w:rPr>
          <w:lang w:val="sv-SE" w:eastAsia="sv-SE"/>
        </w:rPr>
        <w:t>s</w:t>
      </w:r>
      <w:r w:rsidR="00CD38A5">
        <w:rPr>
          <w:lang w:val="sv-SE" w:eastAsia="sv-SE"/>
        </w:rPr>
        <w:t xml:space="preserve"> i </w:t>
      </w:r>
      <w:r w:rsidR="00AD6BCD" w:rsidRPr="00AD6BCD">
        <w:rPr>
          <w:lang w:val="sv-SE" w:eastAsia="sv-SE"/>
        </w:rPr>
        <w:t xml:space="preserve">(prop. </w:t>
      </w:r>
      <w:r w:rsidR="00AD6BCD" w:rsidRPr="00075D6B">
        <w:rPr>
          <w:lang w:val="sv-SE" w:eastAsia="sv-SE"/>
        </w:rPr>
        <w:t>2008/09:93)</w:t>
      </w:r>
      <w:r w:rsidR="00075D6B">
        <w:rPr>
          <w:lang w:val="sv-SE" w:eastAsia="sv-SE"/>
        </w:rPr>
        <w:t xml:space="preserve"> med:</w:t>
      </w:r>
      <w:r w:rsidR="00BD41EC">
        <w:rPr>
          <w:lang w:val="sv-SE" w:eastAsia="sv-SE"/>
        </w:rPr>
        <w:t xml:space="preserve"> </w:t>
      </w:r>
    </w:p>
    <w:p w:rsidR="00CD38A5" w:rsidRPr="00470F7D" w:rsidRDefault="00425D2B" w:rsidP="00470F7D">
      <w:pPr>
        <w:pStyle w:val="Liststycke"/>
        <w:numPr>
          <w:ilvl w:val="0"/>
          <w:numId w:val="3"/>
        </w:numPr>
        <w:rPr>
          <w:lang w:eastAsia="sv-SE"/>
        </w:rPr>
      </w:pPr>
      <w:r w:rsidRPr="00470F7D">
        <w:rPr>
          <w:b/>
          <w:lang w:eastAsia="sv-SE"/>
        </w:rPr>
        <w:t>Funktionsmål – tillgänglighet</w:t>
      </w:r>
      <w:r w:rsidRPr="00470F7D">
        <w:rPr>
          <w:lang w:eastAsia="sv-SE"/>
        </w:rPr>
        <w:t xml:space="preserve"> </w:t>
      </w:r>
      <w:r w:rsidR="00CD38A5" w:rsidRPr="00470F7D">
        <w:rPr>
          <w:lang w:eastAsia="sv-SE"/>
        </w:rPr>
        <w:t>(utformning, funktion och användning, grundläggande tillgänglighet med god kvalitet, ökad tillförlitlighet, trygghet och bekvämlighet)</w:t>
      </w:r>
    </w:p>
    <w:p w:rsidR="00425D2B" w:rsidRDefault="00425D2B" w:rsidP="00470F7D">
      <w:pPr>
        <w:pStyle w:val="Liststycke"/>
        <w:numPr>
          <w:ilvl w:val="0"/>
          <w:numId w:val="3"/>
        </w:numPr>
        <w:rPr>
          <w:lang w:eastAsia="sv-SE"/>
        </w:rPr>
      </w:pPr>
      <w:r w:rsidRPr="00470F7D">
        <w:rPr>
          <w:b/>
          <w:lang w:eastAsia="sv-SE"/>
        </w:rPr>
        <w:t xml:space="preserve">Hänsynsmål – säkerhet, miljö och hälsa </w:t>
      </w:r>
      <w:r w:rsidR="00CD38A5" w:rsidRPr="00470F7D">
        <w:rPr>
          <w:lang w:eastAsia="sv-SE"/>
        </w:rPr>
        <w:t>(ingen ska dödas eller skadas allvarligt,</w:t>
      </w:r>
      <w:r w:rsidR="00075D6B" w:rsidRPr="00470F7D">
        <w:rPr>
          <w:lang w:eastAsia="sv-SE"/>
        </w:rPr>
        <w:t xml:space="preserve"> </w:t>
      </w:r>
      <w:r w:rsidR="00CD38A5" w:rsidRPr="00470F7D">
        <w:rPr>
          <w:lang w:eastAsia="sv-SE"/>
        </w:rPr>
        <w:t>miljökvalitetsmålen uppnås, ökad hälsa</w:t>
      </w:r>
      <w:r w:rsidR="00075D6B" w:rsidRPr="00470F7D">
        <w:rPr>
          <w:lang w:eastAsia="sv-SE"/>
        </w:rPr>
        <w:t>)</w:t>
      </w:r>
    </w:p>
    <w:p w:rsidR="004B7B5A" w:rsidRDefault="004B7B5A" w:rsidP="002B3270">
      <w:pPr>
        <w:spacing w:before="240"/>
        <w:rPr>
          <w:lang w:val="sv-SE" w:eastAsia="sv-SE"/>
        </w:rPr>
      </w:pPr>
      <w:r>
        <w:rPr>
          <w:lang w:val="sv-SE" w:eastAsia="sv-SE"/>
        </w:rPr>
        <w:t xml:space="preserve">Ett önskemål är att </w:t>
      </w:r>
      <w:r w:rsidR="00727D30">
        <w:rPr>
          <w:lang w:val="sv-SE" w:eastAsia="sv-SE"/>
        </w:rPr>
        <w:t>alla mätningar ska leda till att öka måluppfyllelsen vad gäller de övergripande målen. Mätningar sker för att dels nå måluppfyllelsen men också för att mäta måluppfyllelsen. En förenkling för att kunna indela och utforma nödvändiga mätmetoder är att beskriva de övergripande målen i följande funktionella egenskaper</w:t>
      </w:r>
      <w:r w:rsidR="00AF4526">
        <w:rPr>
          <w:lang w:val="sv-SE" w:eastAsia="sv-SE"/>
        </w:rPr>
        <w:t>, vilka kan härledas till det övergripande målet</w:t>
      </w:r>
      <w:r w:rsidR="00727D30">
        <w:rPr>
          <w:lang w:val="sv-SE" w:eastAsia="sv-SE"/>
        </w:rPr>
        <w:t>:</w:t>
      </w:r>
    </w:p>
    <w:p w:rsidR="00727D30" w:rsidRPr="00470F7D" w:rsidRDefault="00727D30" w:rsidP="00470F7D">
      <w:pPr>
        <w:pStyle w:val="Liststycke"/>
        <w:numPr>
          <w:ilvl w:val="0"/>
          <w:numId w:val="2"/>
        </w:numPr>
        <w:rPr>
          <w:b/>
          <w:lang w:eastAsia="sv-SE"/>
        </w:rPr>
      </w:pPr>
      <w:r w:rsidRPr="00470F7D">
        <w:rPr>
          <w:b/>
          <w:lang w:eastAsia="sv-SE"/>
        </w:rPr>
        <w:t>Hållbar väg (Robust och beständig)</w:t>
      </w:r>
    </w:p>
    <w:p w:rsidR="00727D30" w:rsidRPr="00470F7D" w:rsidRDefault="00727D30" w:rsidP="00470F7D">
      <w:pPr>
        <w:pStyle w:val="Liststycke"/>
        <w:numPr>
          <w:ilvl w:val="0"/>
          <w:numId w:val="2"/>
        </w:numPr>
        <w:rPr>
          <w:b/>
          <w:lang w:eastAsia="sv-SE"/>
        </w:rPr>
      </w:pPr>
      <w:r w:rsidRPr="00470F7D">
        <w:rPr>
          <w:b/>
          <w:lang w:eastAsia="sv-SE"/>
        </w:rPr>
        <w:t>Säker väg (rätt friktion, utformning och säkerhetsanordningar)</w:t>
      </w:r>
    </w:p>
    <w:p w:rsidR="00727D30" w:rsidRPr="00470F7D" w:rsidRDefault="00AF4526" w:rsidP="00470F7D">
      <w:pPr>
        <w:pStyle w:val="Liststycke"/>
        <w:numPr>
          <w:ilvl w:val="0"/>
          <w:numId w:val="2"/>
        </w:numPr>
        <w:rPr>
          <w:b/>
          <w:lang w:eastAsia="sv-SE"/>
        </w:rPr>
      </w:pPr>
      <w:r w:rsidRPr="00470F7D">
        <w:rPr>
          <w:b/>
          <w:lang w:eastAsia="sv-SE"/>
        </w:rPr>
        <w:t>Miljöpåverkan</w:t>
      </w:r>
    </w:p>
    <w:p w:rsidR="00AF4526" w:rsidRPr="00470F7D" w:rsidRDefault="00AF4526" w:rsidP="00470F7D">
      <w:pPr>
        <w:pStyle w:val="Liststycke"/>
        <w:numPr>
          <w:ilvl w:val="0"/>
          <w:numId w:val="2"/>
        </w:numPr>
        <w:rPr>
          <w:b/>
          <w:lang w:eastAsia="sv-SE"/>
        </w:rPr>
      </w:pPr>
      <w:r w:rsidRPr="00470F7D">
        <w:rPr>
          <w:b/>
          <w:lang w:eastAsia="sv-SE"/>
        </w:rPr>
        <w:t>Framkomlig väg, åk-kvalitét, fordonskostnader</w:t>
      </w:r>
    </w:p>
    <w:p w:rsidR="00AF4526" w:rsidRPr="00CD38A5" w:rsidRDefault="00AF4526" w:rsidP="002B3270">
      <w:pPr>
        <w:spacing w:before="240"/>
        <w:rPr>
          <w:lang w:val="sv-SE" w:eastAsia="sv-SE"/>
        </w:rPr>
      </w:pPr>
      <w:r>
        <w:rPr>
          <w:lang w:val="sv-SE" w:eastAsia="sv-SE"/>
        </w:rPr>
        <w:t xml:space="preserve">Om varje mätmetod kunde märkas med till vilket funktionellt mål det hör skulle man kunna avgöra om metoder saknas eller är för svaga för ändamålet. </w:t>
      </w:r>
    </w:p>
    <w:p w:rsidR="002B0434" w:rsidRDefault="002B0434" w:rsidP="00470F7D">
      <w:pPr>
        <w:pStyle w:val="Rubrik1"/>
        <w:rPr>
          <w:lang w:val="sv-SE" w:eastAsia="sv-SE"/>
        </w:rPr>
      </w:pPr>
      <w:r>
        <w:rPr>
          <w:lang w:val="sv-SE" w:eastAsia="sv-SE"/>
        </w:rPr>
        <w:t>Mätning</w:t>
      </w:r>
    </w:p>
    <w:p w:rsidR="006807C0" w:rsidRDefault="00AD6BCD" w:rsidP="00425D2B">
      <w:pPr>
        <w:rPr>
          <w:lang w:val="sv-SE" w:eastAsia="sv-SE"/>
        </w:rPr>
      </w:pPr>
      <w:r>
        <w:rPr>
          <w:lang w:val="sv-SE" w:eastAsia="sv-SE"/>
        </w:rPr>
        <w:t xml:space="preserve">Mätningar sker i huvudsak som stöd i verksamheten för </w:t>
      </w:r>
      <w:r w:rsidR="006807C0">
        <w:rPr>
          <w:lang w:val="sv-SE" w:eastAsia="sv-SE"/>
        </w:rPr>
        <w:t>tre</w:t>
      </w:r>
      <w:r>
        <w:rPr>
          <w:lang w:val="sv-SE" w:eastAsia="sv-SE"/>
        </w:rPr>
        <w:t xml:space="preserve"> övergripande områden:</w:t>
      </w:r>
      <w:r w:rsidR="006807C0">
        <w:rPr>
          <w:lang w:val="sv-SE" w:eastAsia="sv-SE"/>
        </w:rPr>
        <w:t xml:space="preserve"> </w:t>
      </w:r>
    </w:p>
    <w:p w:rsidR="006807C0" w:rsidRDefault="006807C0" w:rsidP="00057963">
      <w:pPr>
        <w:ind w:left="709" w:hanging="425"/>
        <w:rPr>
          <w:lang w:val="sv-SE" w:eastAsia="sv-SE"/>
        </w:rPr>
      </w:pPr>
      <w:r>
        <w:rPr>
          <w:lang w:val="sv-SE" w:eastAsia="sv-SE"/>
        </w:rPr>
        <w:t>A</w:t>
      </w:r>
      <w:r>
        <w:rPr>
          <w:lang w:val="sv-SE" w:eastAsia="sv-SE"/>
        </w:rPr>
        <w:tab/>
      </w:r>
      <w:r w:rsidR="00D8181C" w:rsidRPr="00D8181C">
        <w:rPr>
          <w:b/>
          <w:lang w:val="sv-SE" w:eastAsia="sv-SE"/>
        </w:rPr>
        <w:t>Tillståndsbeskrivning</w:t>
      </w:r>
      <w:r w:rsidR="00D8181C">
        <w:rPr>
          <w:lang w:val="sv-SE" w:eastAsia="sv-SE"/>
        </w:rPr>
        <w:t xml:space="preserve">, </w:t>
      </w:r>
      <w:r>
        <w:rPr>
          <w:lang w:val="sv-SE" w:eastAsia="sv-SE"/>
        </w:rPr>
        <w:t>”</w:t>
      </w:r>
      <w:r w:rsidRPr="006807C0">
        <w:rPr>
          <w:b/>
          <w:lang w:val="sv-SE" w:eastAsia="sv-SE"/>
        </w:rPr>
        <w:t>Asset Management</w:t>
      </w:r>
      <w:r>
        <w:rPr>
          <w:lang w:val="sv-SE" w:eastAsia="sv-SE"/>
        </w:rPr>
        <w:t>”</w:t>
      </w:r>
      <w:r w:rsidR="00D8181C">
        <w:rPr>
          <w:lang w:val="sv-SE" w:eastAsia="sv-SE"/>
        </w:rPr>
        <w:t xml:space="preserve"> </w:t>
      </w:r>
    </w:p>
    <w:p w:rsidR="006807C0" w:rsidRDefault="006807C0" w:rsidP="00057963">
      <w:pPr>
        <w:ind w:left="709" w:hanging="425"/>
        <w:rPr>
          <w:b/>
          <w:lang w:val="sv-SE" w:eastAsia="sv-SE"/>
        </w:rPr>
      </w:pPr>
      <w:r>
        <w:rPr>
          <w:lang w:val="sv-SE" w:eastAsia="sv-SE"/>
        </w:rPr>
        <w:t>B</w:t>
      </w:r>
      <w:r>
        <w:rPr>
          <w:lang w:val="sv-SE" w:eastAsia="sv-SE"/>
        </w:rPr>
        <w:tab/>
      </w:r>
      <w:r w:rsidR="00057963" w:rsidRPr="002B3270">
        <w:rPr>
          <w:b/>
          <w:lang w:val="sv-SE" w:eastAsia="sv-SE"/>
        </w:rPr>
        <w:t>I</w:t>
      </w:r>
      <w:r w:rsidR="00AD6BCD" w:rsidRPr="00AD6BCD">
        <w:rPr>
          <w:b/>
          <w:lang w:val="sv-SE" w:eastAsia="sv-SE"/>
        </w:rPr>
        <w:t>nvestering och nybyggnation</w:t>
      </w:r>
    </w:p>
    <w:p w:rsidR="006807C0" w:rsidRDefault="006807C0" w:rsidP="00057963">
      <w:pPr>
        <w:ind w:left="709" w:hanging="425"/>
        <w:rPr>
          <w:lang w:val="sv-SE" w:eastAsia="sv-SE"/>
        </w:rPr>
      </w:pPr>
      <w:r>
        <w:rPr>
          <w:lang w:val="sv-SE" w:eastAsia="sv-SE"/>
        </w:rPr>
        <w:t>C</w:t>
      </w:r>
      <w:r>
        <w:rPr>
          <w:lang w:val="sv-SE" w:eastAsia="sv-SE"/>
        </w:rPr>
        <w:tab/>
      </w:r>
      <w:r w:rsidR="00057963" w:rsidRPr="002B3270">
        <w:rPr>
          <w:b/>
          <w:lang w:val="sv-SE" w:eastAsia="sv-SE"/>
        </w:rPr>
        <w:t>V</w:t>
      </w:r>
      <w:r w:rsidR="002B0434" w:rsidRPr="00057963">
        <w:rPr>
          <w:b/>
          <w:lang w:val="sv-SE" w:eastAsia="sv-SE"/>
        </w:rPr>
        <w:t>ägar</w:t>
      </w:r>
      <w:r w:rsidR="002B0434" w:rsidRPr="002B0434">
        <w:rPr>
          <w:b/>
          <w:lang w:val="sv-SE" w:eastAsia="sv-SE"/>
        </w:rPr>
        <w:t xml:space="preserve"> under användning/</w:t>
      </w:r>
      <w:r w:rsidR="00BD41EC" w:rsidRPr="00BD41EC">
        <w:rPr>
          <w:b/>
          <w:lang w:val="sv-SE" w:eastAsia="sv-SE"/>
        </w:rPr>
        <w:t>skötsel av vägar i drift</w:t>
      </w:r>
      <w:r w:rsidR="00AD6BCD">
        <w:rPr>
          <w:lang w:val="sv-SE" w:eastAsia="sv-SE"/>
        </w:rPr>
        <w:t>.</w:t>
      </w:r>
    </w:p>
    <w:p w:rsidR="00470F7D" w:rsidRDefault="00470F7D" w:rsidP="00470F7D">
      <w:pPr>
        <w:pStyle w:val="Rubrik3"/>
        <w:rPr>
          <w:lang w:val="sv-SE"/>
        </w:rPr>
      </w:pPr>
      <w:r>
        <w:rPr>
          <w:lang w:val="sv-SE"/>
        </w:rPr>
        <w:t>Krav på mätning</w:t>
      </w:r>
    </w:p>
    <w:p w:rsidR="00425D2B" w:rsidRDefault="00AD6BCD" w:rsidP="00425D2B">
      <w:pPr>
        <w:rPr>
          <w:i/>
          <w:lang w:val="sv-SE"/>
        </w:rPr>
      </w:pPr>
      <w:r>
        <w:rPr>
          <w:lang w:val="sv-SE"/>
        </w:rPr>
        <w:t xml:space="preserve">Mätningar görs för att kvalitativt fastställa ett tillstånd för en given egenskap. </w:t>
      </w:r>
      <w:r w:rsidR="00A84CB1">
        <w:rPr>
          <w:lang w:val="sv-SE"/>
        </w:rPr>
        <w:t xml:space="preserve">Kraven på mätningar är att de är </w:t>
      </w:r>
      <w:r w:rsidR="00A84CB1" w:rsidRPr="00075D6B">
        <w:rPr>
          <w:i/>
          <w:lang w:val="sv-SE"/>
        </w:rPr>
        <w:t>objektiva,</w:t>
      </w:r>
      <w:r w:rsidR="0071412C" w:rsidRPr="00075D6B">
        <w:rPr>
          <w:i/>
          <w:lang w:val="sv-SE"/>
        </w:rPr>
        <w:t xml:space="preserve"> </w:t>
      </w:r>
      <w:r w:rsidR="00A84CB1" w:rsidRPr="00075D6B">
        <w:rPr>
          <w:i/>
          <w:lang w:val="sv-SE"/>
        </w:rPr>
        <w:t>repeterbara, spårbara och har en känd noggrannhet</w:t>
      </w:r>
      <w:r w:rsidR="00A84CB1">
        <w:rPr>
          <w:lang w:val="sv-SE"/>
        </w:rPr>
        <w:t xml:space="preserve">. Vidare </w:t>
      </w:r>
      <w:r w:rsidR="00075D6B">
        <w:rPr>
          <w:lang w:val="sv-SE"/>
        </w:rPr>
        <w:t>ska</w:t>
      </w:r>
      <w:r w:rsidR="00A84CB1">
        <w:rPr>
          <w:lang w:val="sv-SE"/>
        </w:rPr>
        <w:t xml:space="preserve"> mätningen kunna </w:t>
      </w:r>
      <w:r w:rsidR="00A84CB1" w:rsidRPr="00075D6B">
        <w:rPr>
          <w:i/>
          <w:lang w:val="sv-SE"/>
        </w:rPr>
        <w:t>utföras utan att förstöra mätobjektet</w:t>
      </w:r>
      <w:r w:rsidR="00A84CB1">
        <w:rPr>
          <w:lang w:val="sv-SE"/>
        </w:rPr>
        <w:t xml:space="preserve"> och </w:t>
      </w:r>
      <w:r w:rsidR="00075D6B">
        <w:rPr>
          <w:lang w:val="sv-SE"/>
        </w:rPr>
        <w:t xml:space="preserve">ske </w:t>
      </w:r>
      <w:r w:rsidR="00A84CB1">
        <w:rPr>
          <w:lang w:val="sv-SE"/>
        </w:rPr>
        <w:t xml:space="preserve">på ett </w:t>
      </w:r>
      <w:r w:rsidR="0071412C" w:rsidRPr="00075D6B">
        <w:rPr>
          <w:i/>
          <w:lang w:val="sv-SE"/>
        </w:rPr>
        <w:t>t</w:t>
      </w:r>
      <w:r w:rsidR="00A84CB1" w:rsidRPr="00075D6B">
        <w:rPr>
          <w:i/>
          <w:lang w:val="sv-SE"/>
        </w:rPr>
        <w:t>r</w:t>
      </w:r>
      <w:r w:rsidR="0071412C" w:rsidRPr="00075D6B">
        <w:rPr>
          <w:i/>
          <w:lang w:val="sv-SE"/>
        </w:rPr>
        <w:t>a</w:t>
      </w:r>
      <w:r w:rsidR="00A84CB1" w:rsidRPr="00075D6B">
        <w:rPr>
          <w:i/>
          <w:lang w:val="sv-SE"/>
        </w:rPr>
        <w:t>fiksäkert sätt</w:t>
      </w:r>
      <w:r w:rsidR="00A84CB1">
        <w:rPr>
          <w:lang w:val="sv-SE"/>
        </w:rPr>
        <w:t xml:space="preserve"> så att övrig trafik inte störs eller</w:t>
      </w:r>
      <w:r w:rsidR="0071412C">
        <w:rPr>
          <w:lang w:val="sv-SE"/>
        </w:rPr>
        <w:t xml:space="preserve"> mätutföraren utsätts för fara.</w:t>
      </w:r>
      <w:r w:rsidR="00BD41EC">
        <w:rPr>
          <w:lang w:val="sv-SE"/>
        </w:rPr>
        <w:t xml:space="preserve"> Andra</w:t>
      </w:r>
      <w:r w:rsidR="002B0434">
        <w:rPr>
          <w:lang w:val="sv-SE"/>
        </w:rPr>
        <w:t xml:space="preserve"> </w:t>
      </w:r>
      <w:r w:rsidR="00BD41EC">
        <w:rPr>
          <w:lang w:val="sv-SE"/>
        </w:rPr>
        <w:t xml:space="preserve">krav är att mätmetoden ska vara </w:t>
      </w:r>
      <w:r w:rsidR="006807C0" w:rsidRPr="006807C0">
        <w:rPr>
          <w:i/>
          <w:lang w:val="sv-SE"/>
        </w:rPr>
        <w:t>valida</w:t>
      </w:r>
      <w:r w:rsidR="006807C0">
        <w:rPr>
          <w:lang w:val="sv-SE"/>
        </w:rPr>
        <w:t xml:space="preserve"> (mäta rätt egenskap) och </w:t>
      </w:r>
      <w:r w:rsidR="006807C0">
        <w:rPr>
          <w:i/>
          <w:lang w:val="sv-SE"/>
        </w:rPr>
        <w:t>reproducerbar.</w:t>
      </w:r>
    </w:p>
    <w:p w:rsidR="0077148F" w:rsidRDefault="0077148F" w:rsidP="00425D2B">
      <w:pPr>
        <w:rPr>
          <w:i/>
          <w:lang w:val="sv-SE"/>
        </w:rPr>
      </w:pPr>
    </w:p>
    <w:p w:rsidR="0077148F" w:rsidRDefault="0077148F" w:rsidP="00470F7D">
      <w:pPr>
        <w:pStyle w:val="Rubrik3"/>
        <w:rPr>
          <w:lang w:val="sv-SE"/>
        </w:rPr>
      </w:pPr>
    </w:p>
    <w:p w:rsidR="00470F7D" w:rsidRDefault="00470F7D" w:rsidP="00470F7D">
      <w:pPr>
        <w:pStyle w:val="Rubrik3"/>
        <w:rPr>
          <w:lang w:val="sv-SE"/>
        </w:rPr>
      </w:pPr>
      <w:r>
        <w:rPr>
          <w:lang w:val="sv-SE"/>
        </w:rPr>
        <w:t>Ändamål med mätningen</w:t>
      </w:r>
    </w:p>
    <w:p w:rsidR="006807C0" w:rsidRDefault="006807C0">
      <w:pPr>
        <w:rPr>
          <w:lang w:val="sv-SE"/>
        </w:rPr>
      </w:pPr>
      <w:r w:rsidRPr="006807C0">
        <w:rPr>
          <w:lang w:val="sv-SE"/>
        </w:rPr>
        <w:t xml:space="preserve">Vidare kan </w:t>
      </w:r>
      <w:r>
        <w:rPr>
          <w:lang w:val="sv-SE"/>
        </w:rPr>
        <w:t>ändamålet med mätningar delas in i följande huvudgrupper. Anledningen till indelningen är att det är olika krav på mätmetod i de olika gruppernas och även olika krav hur man hanterar samma mätmetod:</w:t>
      </w:r>
    </w:p>
    <w:p w:rsidR="003A5670" w:rsidRDefault="003A5670" w:rsidP="00D763D1">
      <w:pPr>
        <w:spacing w:after="0"/>
        <w:ind w:left="850" w:hanging="425"/>
        <w:rPr>
          <w:lang w:val="sv-SE"/>
        </w:rPr>
      </w:pPr>
      <w:r w:rsidRPr="00057963">
        <w:rPr>
          <w:b/>
          <w:lang w:val="sv-SE"/>
        </w:rPr>
        <w:t>I</w:t>
      </w:r>
      <w:r>
        <w:rPr>
          <w:lang w:val="sv-SE"/>
        </w:rPr>
        <w:t xml:space="preserve"> </w:t>
      </w:r>
      <w:r>
        <w:rPr>
          <w:lang w:val="sv-SE"/>
        </w:rPr>
        <w:tab/>
      </w:r>
      <w:r w:rsidRPr="006807C0">
        <w:rPr>
          <w:b/>
          <w:lang w:val="sv-SE"/>
        </w:rPr>
        <w:t>Planering</w:t>
      </w:r>
      <w:r>
        <w:rPr>
          <w:b/>
          <w:lang w:val="sv-SE"/>
        </w:rPr>
        <w:t xml:space="preserve"> (inventering mm)</w:t>
      </w:r>
      <w:r>
        <w:rPr>
          <w:lang w:val="sv-SE"/>
        </w:rPr>
        <w:t>, huvudägare Väghållare nationell, regional eller driftområde</w:t>
      </w:r>
    </w:p>
    <w:p w:rsidR="006807C0" w:rsidRDefault="006807C0" w:rsidP="00D763D1">
      <w:pPr>
        <w:spacing w:after="0"/>
        <w:ind w:left="850" w:hanging="425"/>
        <w:rPr>
          <w:lang w:val="sv-SE"/>
        </w:rPr>
      </w:pPr>
      <w:r w:rsidRPr="00057963">
        <w:rPr>
          <w:b/>
          <w:lang w:val="sv-SE"/>
        </w:rPr>
        <w:t>I</w:t>
      </w:r>
      <w:r w:rsidR="003A5670">
        <w:rPr>
          <w:b/>
          <w:lang w:val="sv-SE"/>
        </w:rPr>
        <w:t>I</w:t>
      </w:r>
      <w:r>
        <w:rPr>
          <w:lang w:val="sv-SE"/>
        </w:rPr>
        <w:t xml:space="preserve"> </w:t>
      </w:r>
      <w:r>
        <w:rPr>
          <w:lang w:val="sv-SE"/>
        </w:rPr>
        <w:tab/>
      </w:r>
      <w:r w:rsidR="00B46572" w:rsidRPr="006807C0">
        <w:rPr>
          <w:b/>
          <w:lang w:val="sv-SE"/>
        </w:rPr>
        <w:t>Produktionsstöd</w:t>
      </w:r>
      <w:r>
        <w:rPr>
          <w:lang w:val="sv-SE"/>
        </w:rPr>
        <w:t>,</w:t>
      </w:r>
      <w:r w:rsidR="00570BA5">
        <w:rPr>
          <w:lang w:val="sv-SE"/>
        </w:rPr>
        <w:t xml:space="preserve"> huvudägare Entreprenör</w:t>
      </w:r>
    </w:p>
    <w:p w:rsidR="006807C0" w:rsidRDefault="006807C0" w:rsidP="00D763D1">
      <w:pPr>
        <w:spacing w:after="0"/>
        <w:ind w:left="850" w:hanging="425"/>
        <w:rPr>
          <w:lang w:val="sv-SE"/>
        </w:rPr>
      </w:pPr>
      <w:r w:rsidRPr="00057963">
        <w:rPr>
          <w:b/>
          <w:lang w:val="sv-SE"/>
        </w:rPr>
        <w:t>II</w:t>
      </w:r>
      <w:r w:rsidR="003A5670">
        <w:rPr>
          <w:b/>
          <w:lang w:val="sv-SE"/>
        </w:rPr>
        <w:t>I</w:t>
      </w:r>
      <w:r>
        <w:rPr>
          <w:lang w:val="sv-SE"/>
        </w:rPr>
        <w:t xml:space="preserve"> </w:t>
      </w:r>
      <w:r>
        <w:rPr>
          <w:lang w:val="sv-SE"/>
        </w:rPr>
        <w:tab/>
      </w:r>
      <w:r w:rsidR="00B46572" w:rsidRPr="006807C0">
        <w:rPr>
          <w:b/>
          <w:lang w:val="sv-SE"/>
        </w:rPr>
        <w:t>Kontroll av utförande</w:t>
      </w:r>
      <w:r>
        <w:rPr>
          <w:lang w:val="sv-SE"/>
        </w:rPr>
        <w:t>,</w:t>
      </w:r>
      <w:r w:rsidR="00570BA5">
        <w:rPr>
          <w:lang w:val="sv-SE"/>
        </w:rPr>
        <w:t xml:space="preserve"> huvudägare Kontrakt (beställare/utförare)</w:t>
      </w:r>
    </w:p>
    <w:p w:rsidR="00B46572" w:rsidRDefault="006807C0" w:rsidP="00D763D1">
      <w:pPr>
        <w:spacing w:after="0"/>
        <w:ind w:left="850" w:hanging="425"/>
        <w:rPr>
          <w:lang w:val="sv-SE"/>
        </w:rPr>
      </w:pPr>
      <w:r w:rsidRPr="00057963">
        <w:rPr>
          <w:b/>
          <w:lang w:val="sv-SE"/>
        </w:rPr>
        <w:t>IV</w:t>
      </w:r>
      <w:r>
        <w:rPr>
          <w:lang w:val="sv-SE"/>
        </w:rPr>
        <w:tab/>
      </w:r>
      <w:r w:rsidR="00B46572" w:rsidRPr="006807C0">
        <w:rPr>
          <w:b/>
          <w:lang w:val="sv-SE"/>
        </w:rPr>
        <w:t>Forskningsunderlag</w:t>
      </w:r>
      <w:r w:rsidR="00570BA5">
        <w:rPr>
          <w:b/>
          <w:lang w:val="sv-SE"/>
        </w:rPr>
        <w:t xml:space="preserve">, </w:t>
      </w:r>
      <w:r w:rsidR="006553CA" w:rsidRPr="006553CA">
        <w:rPr>
          <w:lang w:val="sv-SE"/>
        </w:rPr>
        <w:t>huvudägare</w:t>
      </w:r>
      <w:r w:rsidR="006553CA">
        <w:rPr>
          <w:b/>
          <w:lang w:val="sv-SE"/>
        </w:rPr>
        <w:t xml:space="preserve"> </w:t>
      </w:r>
      <w:r w:rsidR="00570BA5" w:rsidRPr="00570BA5">
        <w:rPr>
          <w:lang w:val="sv-SE"/>
        </w:rPr>
        <w:t>Universitet, Institut och andra forskningsutförare</w:t>
      </w:r>
    </w:p>
    <w:p w:rsidR="00DC0B15" w:rsidRDefault="00DC0B15" w:rsidP="00DC0B15">
      <w:pPr>
        <w:pStyle w:val="Rubrik3"/>
        <w:rPr>
          <w:lang w:val="sv-SE"/>
        </w:rPr>
      </w:pPr>
      <w:r>
        <w:rPr>
          <w:lang w:val="sv-SE"/>
        </w:rPr>
        <w:t>Typ av mätning</w:t>
      </w:r>
    </w:p>
    <w:p w:rsidR="00B46572" w:rsidRDefault="00570BA5" w:rsidP="00D763D1">
      <w:pPr>
        <w:spacing w:after="120"/>
        <w:rPr>
          <w:lang w:val="sv-SE"/>
        </w:rPr>
      </w:pPr>
      <w:r>
        <w:rPr>
          <w:lang w:val="sv-SE"/>
        </w:rPr>
        <w:t>De mätmetoder som kan komma att hanteras av oförstörande fältmätning kan också delas in i vilken typ av mätning det handlar om i forma av metodens täckningsgrad (hur väl täcker mätningen det efterfrågade objektets tillstånd) och vidare vilka krav på skyddsåtgärder krävs. Detta svarar ofta mot hur kostsam metoden är att använda. Utöver metoder som använder fysiska mätinstrument ska också subjektiva bedömnings metoder och visuell kartering täckas in.</w:t>
      </w:r>
      <w:r w:rsidR="00D8181C">
        <w:rPr>
          <w:lang w:val="sv-SE"/>
        </w:rPr>
        <w:t xml:space="preserve"> Huvudgrupperna för denna indelning är:</w:t>
      </w:r>
    </w:p>
    <w:p w:rsidR="00D8181C" w:rsidRDefault="00D8181C" w:rsidP="00D763D1">
      <w:pPr>
        <w:spacing w:after="0"/>
        <w:ind w:left="850" w:hanging="425"/>
        <w:rPr>
          <w:lang w:val="sv-SE"/>
        </w:rPr>
      </w:pPr>
      <w:r>
        <w:rPr>
          <w:b/>
          <w:lang w:val="sv-SE"/>
        </w:rPr>
        <w:t>1</w:t>
      </w:r>
      <w:r>
        <w:rPr>
          <w:b/>
          <w:lang w:val="sv-SE"/>
        </w:rPr>
        <w:tab/>
      </w:r>
      <w:r w:rsidR="00B46572" w:rsidRPr="00D8181C">
        <w:rPr>
          <w:b/>
          <w:lang w:val="sv-SE"/>
        </w:rPr>
        <w:t>Mobil</w:t>
      </w:r>
      <w:r w:rsidR="0053503F" w:rsidRPr="00D8181C">
        <w:rPr>
          <w:b/>
          <w:lang w:val="sv-SE"/>
        </w:rPr>
        <w:t xml:space="preserve"> (trafikfart)</w:t>
      </w:r>
      <w:r w:rsidRPr="00D8181C">
        <w:rPr>
          <w:b/>
          <w:lang w:val="sv-SE"/>
        </w:rPr>
        <w:t>,</w:t>
      </w:r>
      <w:r>
        <w:rPr>
          <w:lang w:val="sv-SE"/>
        </w:rPr>
        <w:t xml:space="preserve"> täcker längre vägsträckning och ofta stor yta, kräver inte avstängning</w:t>
      </w:r>
    </w:p>
    <w:p w:rsidR="00D8181C" w:rsidRDefault="00D8181C" w:rsidP="00D763D1">
      <w:pPr>
        <w:spacing w:after="0"/>
        <w:ind w:left="850" w:hanging="425"/>
        <w:rPr>
          <w:lang w:val="sv-SE"/>
        </w:rPr>
      </w:pPr>
      <w:r>
        <w:rPr>
          <w:b/>
          <w:lang w:val="sv-SE"/>
        </w:rPr>
        <w:t>2</w:t>
      </w:r>
      <w:r>
        <w:rPr>
          <w:b/>
          <w:lang w:val="sv-SE"/>
        </w:rPr>
        <w:tab/>
      </w:r>
      <w:r w:rsidR="0053503F" w:rsidRPr="00D8181C">
        <w:rPr>
          <w:b/>
          <w:lang w:val="sv-SE"/>
        </w:rPr>
        <w:t>Mobil (flyttbar)</w:t>
      </w:r>
      <w:r w:rsidRPr="00D8181C">
        <w:rPr>
          <w:b/>
          <w:lang w:val="sv-SE"/>
        </w:rPr>
        <w:t>,</w:t>
      </w:r>
      <w:r>
        <w:rPr>
          <w:lang w:val="sv-SE"/>
        </w:rPr>
        <w:t xml:space="preserve"> kan vara stickprov eller intermittent verkande metod, samt både sektion och yttäckande men kräver stängning och skydd vid mätning</w:t>
      </w:r>
    </w:p>
    <w:p w:rsidR="001F2278" w:rsidRDefault="00D8181C" w:rsidP="00D763D1">
      <w:pPr>
        <w:spacing w:after="0"/>
        <w:ind w:left="850" w:hanging="425"/>
        <w:rPr>
          <w:lang w:val="sv-SE"/>
        </w:rPr>
      </w:pPr>
      <w:r>
        <w:rPr>
          <w:b/>
          <w:lang w:val="sv-SE"/>
        </w:rPr>
        <w:t>3</w:t>
      </w:r>
      <w:r>
        <w:rPr>
          <w:b/>
          <w:lang w:val="sv-SE"/>
        </w:rPr>
        <w:tab/>
      </w:r>
      <w:r w:rsidR="0053503F" w:rsidRPr="00D8181C">
        <w:rPr>
          <w:b/>
          <w:lang w:val="sv-SE"/>
        </w:rPr>
        <w:t>Statisk</w:t>
      </w:r>
      <w:r>
        <w:rPr>
          <w:lang w:val="sv-SE"/>
        </w:rPr>
        <w:t>, stickprov och kräver avstängning</w:t>
      </w:r>
    </w:p>
    <w:p w:rsidR="00DC0B15" w:rsidRDefault="00DC0B15" w:rsidP="00B16165">
      <w:pPr>
        <w:pStyle w:val="Rubrik3"/>
        <w:tabs>
          <w:tab w:val="center" w:pos="4535"/>
        </w:tabs>
        <w:rPr>
          <w:lang w:val="sv-SE"/>
        </w:rPr>
      </w:pPr>
      <w:r>
        <w:rPr>
          <w:lang w:val="sv-SE"/>
        </w:rPr>
        <w:t>Objekt som ska mätas</w:t>
      </w:r>
      <w:r w:rsidR="00B16165">
        <w:rPr>
          <w:lang w:val="sv-SE"/>
        </w:rPr>
        <w:tab/>
      </w:r>
    </w:p>
    <w:p w:rsidR="00CD38A5" w:rsidRDefault="00D8181C">
      <w:pPr>
        <w:rPr>
          <w:lang w:val="sv-SE"/>
        </w:rPr>
      </w:pPr>
      <w:r>
        <w:rPr>
          <w:lang w:val="sv-SE"/>
        </w:rPr>
        <w:t xml:space="preserve">Objekt och områden som bör behandlas av </w:t>
      </w:r>
      <w:r w:rsidR="00B16165">
        <w:rPr>
          <w:lang w:val="sv-SE"/>
        </w:rPr>
        <w:t>Metodgruppens utskott ”</w:t>
      </w:r>
      <w:r>
        <w:rPr>
          <w:lang w:val="sv-SE"/>
        </w:rPr>
        <w:t xml:space="preserve">Oförstörande </w:t>
      </w:r>
      <w:r w:rsidR="002C0406">
        <w:rPr>
          <w:lang w:val="sv-SE"/>
        </w:rPr>
        <w:t>fältmätning</w:t>
      </w:r>
      <w:r w:rsidR="00B16165">
        <w:rPr>
          <w:lang w:val="sv-SE"/>
        </w:rPr>
        <w:t>ar”</w:t>
      </w:r>
      <w:r w:rsidR="002C0406">
        <w:rPr>
          <w:lang w:val="sv-SE"/>
        </w:rPr>
        <w:t xml:space="preserve"> </w:t>
      </w:r>
      <w:r>
        <w:rPr>
          <w:lang w:val="sv-SE"/>
        </w:rPr>
        <w:t>är t.ex. följande:</w:t>
      </w:r>
    </w:p>
    <w:p w:rsidR="008E0B46" w:rsidRDefault="00CD38A5" w:rsidP="008E0B46">
      <w:pPr>
        <w:spacing w:after="0"/>
        <w:rPr>
          <w:b/>
          <w:lang w:val="sv-SE"/>
        </w:rPr>
      </w:pPr>
      <w:r w:rsidRPr="00057963">
        <w:rPr>
          <w:rStyle w:val="Rubrik4Char"/>
          <w:rFonts w:asciiTheme="minorHAnsi" w:eastAsiaTheme="minorHAnsi" w:hAnsiTheme="minorHAnsi" w:cstheme="minorHAnsi"/>
          <w:sz w:val="22"/>
          <w:lang w:val="sv-SE"/>
        </w:rPr>
        <w:t>VÄGBANOR</w:t>
      </w:r>
      <w:r w:rsidR="002C0406" w:rsidRPr="00057963">
        <w:rPr>
          <w:lang w:val="sv-SE"/>
        </w:rPr>
        <w:t>, inklusive gång</w:t>
      </w:r>
      <w:r w:rsidR="00057963">
        <w:rPr>
          <w:lang w:val="sv-SE"/>
        </w:rPr>
        <w:t>-</w:t>
      </w:r>
      <w:r w:rsidR="002C0406" w:rsidRPr="00057963">
        <w:rPr>
          <w:lang w:val="sv-SE"/>
        </w:rPr>
        <w:t xml:space="preserve"> och cykelvägar</w:t>
      </w:r>
      <w:r w:rsidR="008E0B46" w:rsidRPr="008E0B46">
        <w:rPr>
          <w:b/>
          <w:lang w:val="sv-SE"/>
        </w:rPr>
        <w:t xml:space="preserve"> </w:t>
      </w:r>
    </w:p>
    <w:p w:rsidR="008E0B46" w:rsidRPr="00F5646A" w:rsidRDefault="008E0B46" w:rsidP="008E0B46">
      <w:pPr>
        <w:spacing w:after="0"/>
        <w:rPr>
          <w:lang w:val="sv-SE"/>
        </w:rPr>
      </w:pPr>
      <w:r w:rsidRPr="00057963">
        <w:rPr>
          <w:b/>
          <w:lang w:val="sv-SE"/>
        </w:rPr>
        <w:t>FLYGFÄLT</w:t>
      </w:r>
      <w:r w:rsidRPr="008E0B46">
        <w:rPr>
          <w:lang w:val="sv-SE"/>
        </w:rPr>
        <w:t>, i</w:t>
      </w:r>
      <w:r w:rsidRPr="00F5646A">
        <w:rPr>
          <w:lang w:val="sv-SE"/>
        </w:rPr>
        <w:t>nklusive landningsbanor, taxibanor</w:t>
      </w:r>
      <w:r>
        <w:rPr>
          <w:lang w:val="sv-SE"/>
        </w:rPr>
        <w:t xml:space="preserve"> och</w:t>
      </w:r>
      <w:r w:rsidRPr="00F5646A">
        <w:rPr>
          <w:lang w:val="sv-SE"/>
        </w:rPr>
        <w:t xml:space="preserve"> uppställnings</w:t>
      </w:r>
      <w:r>
        <w:rPr>
          <w:lang w:val="sv-SE"/>
        </w:rPr>
        <w:t>ytor</w:t>
      </w:r>
    </w:p>
    <w:p w:rsidR="008E0B46" w:rsidRDefault="008E0B46" w:rsidP="008E0B46">
      <w:pPr>
        <w:spacing w:after="0"/>
        <w:rPr>
          <w:b/>
          <w:lang w:val="sv-SE"/>
        </w:rPr>
      </w:pPr>
      <w:r w:rsidRPr="00057963">
        <w:rPr>
          <w:b/>
          <w:lang w:val="sv-SE"/>
        </w:rPr>
        <w:t xml:space="preserve">ÖVRIGA YTOR </w:t>
      </w:r>
      <w:r>
        <w:rPr>
          <w:b/>
          <w:lang w:val="sv-SE"/>
        </w:rPr>
        <w:t>(</w:t>
      </w:r>
      <w:r w:rsidRPr="008E0B46">
        <w:rPr>
          <w:lang w:val="sv-SE"/>
        </w:rPr>
        <w:t>hamnar, parkeringsplatser mm)</w:t>
      </w:r>
    </w:p>
    <w:p w:rsidR="008E0B46" w:rsidRDefault="008E0B46" w:rsidP="008E0B46">
      <w:pPr>
        <w:spacing w:after="0"/>
        <w:rPr>
          <w:b/>
          <w:lang w:val="sv-SE"/>
        </w:rPr>
      </w:pPr>
    </w:p>
    <w:p w:rsidR="008E0B46" w:rsidRPr="008E0B46" w:rsidRDefault="008E0B46" w:rsidP="008E0B46">
      <w:pPr>
        <w:spacing w:after="0"/>
        <w:rPr>
          <w:b/>
          <w:lang w:val="sv-SE"/>
        </w:rPr>
      </w:pPr>
      <w:r w:rsidRPr="008E0B46">
        <w:rPr>
          <w:b/>
          <w:lang w:val="sv-SE"/>
        </w:rPr>
        <w:t xml:space="preserve">Mätning av: </w:t>
      </w:r>
    </w:p>
    <w:p w:rsidR="003A1245" w:rsidRPr="00EC394B" w:rsidRDefault="002C0406" w:rsidP="00EC394B">
      <w:pPr>
        <w:tabs>
          <w:tab w:val="left" w:pos="1843"/>
        </w:tabs>
        <w:spacing w:after="0"/>
        <w:rPr>
          <w:rFonts w:asciiTheme="majorHAnsi" w:hAnsiTheme="majorHAnsi" w:cstheme="majorHAnsi"/>
          <w:sz w:val="18"/>
          <w:lang w:val="sv-SE"/>
        </w:rPr>
      </w:pPr>
      <w:r w:rsidRPr="00EC394B">
        <w:rPr>
          <w:rFonts w:asciiTheme="majorHAnsi" w:hAnsiTheme="majorHAnsi" w:cstheme="majorHAnsi"/>
          <w:sz w:val="16"/>
          <w:lang w:val="sv-SE"/>
        </w:rPr>
        <w:t>V</w:t>
      </w:r>
      <w:r w:rsidR="003A1245" w:rsidRPr="00EC394B">
        <w:rPr>
          <w:rFonts w:asciiTheme="majorHAnsi" w:hAnsiTheme="majorHAnsi" w:cstheme="majorHAnsi"/>
          <w:sz w:val="16"/>
          <w:lang w:val="sv-SE"/>
        </w:rPr>
        <w:t>ÄGKONSTRUKTION</w:t>
      </w:r>
      <w:r w:rsidR="00EC394B">
        <w:rPr>
          <w:rFonts w:asciiTheme="majorHAnsi" w:hAnsiTheme="majorHAnsi" w:cstheme="majorHAnsi"/>
          <w:sz w:val="16"/>
          <w:lang w:val="sv-SE"/>
        </w:rPr>
        <w:tab/>
      </w:r>
      <w:r w:rsidR="002E0CA7" w:rsidRPr="00EC394B">
        <w:rPr>
          <w:rFonts w:asciiTheme="majorHAnsi" w:hAnsiTheme="majorHAnsi" w:cstheme="majorHAnsi"/>
          <w:sz w:val="18"/>
          <w:lang w:val="sv-SE"/>
        </w:rPr>
        <w:t>Slitlager</w:t>
      </w:r>
      <w:r w:rsidR="008E0B46">
        <w:rPr>
          <w:rFonts w:asciiTheme="majorHAnsi" w:hAnsiTheme="majorHAnsi" w:cstheme="majorHAnsi"/>
          <w:sz w:val="18"/>
          <w:lang w:val="sv-SE"/>
        </w:rPr>
        <w:t>,</w:t>
      </w:r>
      <w:r w:rsidR="00EC394B">
        <w:rPr>
          <w:rFonts w:asciiTheme="majorHAnsi" w:hAnsiTheme="majorHAnsi" w:cstheme="majorHAnsi"/>
          <w:sz w:val="18"/>
          <w:lang w:val="sv-SE"/>
        </w:rPr>
        <w:tab/>
      </w:r>
      <w:r w:rsidR="008E0B46">
        <w:rPr>
          <w:rFonts w:asciiTheme="majorHAnsi" w:hAnsiTheme="majorHAnsi" w:cstheme="majorHAnsi"/>
          <w:sz w:val="18"/>
          <w:lang w:val="sv-SE"/>
        </w:rPr>
        <w:t>b</w:t>
      </w:r>
      <w:r w:rsidR="00EC394B">
        <w:rPr>
          <w:rFonts w:asciiTheme="majorHAnsi" w:hAnsiTheme="majorHAnsi" w:cstheme="majorHAnsi"/>
          <w:sz w:val="18"/>
          <w:lang w:val="sv-SE"/>
        </w:rPr>
        <w:t>indlager</w:t>
      </w:r>
      <w:r w:rsidR="008E0B46">
        <w:rPr>
          <w:rFonts w:asciiTheme="majorHAnsi" w:hAnsiTheme="majorHAnsi" w:cstheme="majorHAnsi"/>
          <w:sz w:val="18"/>
          <w:lang w:val="sv-SE"/>
        </w:rPr>
        <w:t xml:space="preserve"> och b</w:t>
      </w:r>
      <w:r w:rsidRPr="00EC394B">
        <w:rPr>
          <w:rFonts w:asciiTheme="majorHAnsi" w:hAnsiTheme="majorHAnsi" w:cstheme="majorHAnsi"/>
          <w:sz w:val="18"/>
          <w:lang w:val="sv-SE"/>
        </w:rPr>
        <w:t>ärlager</w:t>
      </w:r>
    </w:p>
    <w:p w:rsidR="00057963" w:rsidRDefault="002E0CA7" w:rsidP="003A1245">
      <w:pPr>
        <w:spacing w:after="0"/>
        <w:rPr>
          <w:rFonts w:asciiTheme="majorHAnsi" w:hAnsiTheme="majorHAnsi" w:cstheme="majorHAnsi"/>
          <w:sz w:val="18"/>
          <w:lang w:val="sv-SE"/>
        </w:rPr>
      </w:pPr>
      <w:r w:rsidRPr="00EC394B">
        <w:rPr>
          <w:rFonts w:asciiTheme="majorHAnsi" w:hAnsiTheme="majorHAnsi" w:cstheme="majorHAnsi"/>
          <w:sz w:val="18"/>
          <w:lang w:val="sv-SE"/>
        </w:rPr>
        <w:t>V</w:t>
      </w:r>
      <w:r w:rsidR="00057963">
        <w:rPr>
          <w:rFonts w:asciiTheme="majorHAnsi" w:hAnsiTheme="majorHAnsi" w:cstheme="majorHAnsi"/>
          <w:sz w:val="18"/>
          <w:lang w:val="sv-SE"/>
        </w:rPr>
        <w:t>ÄGYTA</w:t>
      </w:r>
    </w:p>
    <w:p w:rsidR="00057963" w:rsidRDefault="002C0406" w:rsidP="00057963">
      <w:pPr>
        <w:spacing w:after="0"/>
        <w:rPr>
          <w:rFonts w:asciiTheme="majorHAnsi" w:hAnsiTheme="majorHAnsi" w:cstheme="majorHAnsi"/>
          <w:sz w:val="18"/>
          <w:lang w:val="sv-SE"/>
        </w:rPr>
      </w:pPr>
      <w:r w:rsidRPr="00EC394B">
        <w:rPr>
          <w:rFonts w:asciiTheme="majorHAnsi" w:hAnsiTheme="majorHAnsi" w:cstheme="majorHAnsi"/>
          <w:sz w:val="18"/>
          <w:lang w:val="sv-SE"/>
        </w:rPr>
        <w:t>VÄGMARKERINGAR</w:t>
      </w:r>
    </w:p>
    <w:p w:rsidR="008E0B46" w:rsidRDefault="008E0B46" w:rsidP="00057963">
      <w:pPr>
        <w:tabs>
          <w:tab w:val="left" w:pos="1843"/>
        </w:tabs>
        <w:spacing w:after="0"/>
        <w:rPr>
          <w:rFonts w:asciiTheme="majorHAnsi" w:hAnsiTheme="majorHAnsi" w:cstheme="majorHAnsi"/>
          <w:sz w:val="18"/>
          <w:lang w:val="sv-SE"/>
        </w:rPr>
      </w:pPr>
    </w:p>
    <w:p w:rsidR="00B16165" w:rsidRDefault="00B16165" w:rsidP="00057963">
      <w:pPr>
        <w:tabs>
          <w:tab w:val="left" w:pos="1843"/>
        </w:tabs>
        <w:spacing w:after="0"/>
        <w:rPr>
          <w:rFonts w:asciiTheme="majorHAnsi" w:hAnsiTheme="majorHAnsi" w:cstheme="majorHAnsi"/>
          <w:b/>
          <w:sz w:val="18"/>
          <w:lang w:val="sv-SE"/>
        </w:rPr>
      </w:pPr>
    </w:p>
    <w:p w:rsidR="00D763D1" w:rsidRDefault="00D763D1" w:rsidP="00057963">
      <w:pPr>
        <w:tabs>
          <w:tab w:val="left" w:pos="1843"/>
        </w:tabs>
        <w:spacing w:after="0"/>
        <w:rPr>
          <w:rFonts w:asciiTheme="majorHAnsi" w:hAnsiTheme="majorHAnsi" w:cstheme="majorHAnsi"/>
          <w:b/>
          <w:sz w:val="18"/>
          <w:lang w:val="sv-SE"/>
        </w:rPr>
      </w:pPr>
    </w:p>
    <w:p w:rsidR="00B16165" w:rsidRPr="00B16165" w:rsidRDefault="00B16165" w:rsidP="00B16165">
      <w:pPr>
        <w:pBdr>
          <w:top w:val="single" w:sz="4" w:space="1" w:color="auto"/>
          <w:left w:val="single" w:sz="4" w:space="4" w:color="auto"/>
          <w:bottom w:val="single" w:sz="4" w:space="1" w:color="auto"/>
          <w:right w:val="single" w:sz="4" w:space="4" w:color="auto"/>
        </w:pBdr>
        <w:tabs>
          <w:tab w:val="left" w:pos="1843"/>
        </w:tabs>
        <w:spacing w:after="0"/>
        <w:rPr>
          <w:b/>
          <w:lang w:val="sv-SE"/>
        </w:rPr>
      </w:pPr>
      <w:r w:rsidRPr="00B16165">
        <w:rPr>
          <w:b/>
          <w:lang w:val="sv-SE"/>
        </w:rPr>
        <w:t xml:space="preserve">Objekt och områden som </w:t>
      </w:r>
      <w:r w:rsidRPr="00B16165">
        <w:rPr>
          <w:b/>
          <w:u w:val="single"/>
          <w:lang w:val="sv-SE"/>
        </w:rPr>
        <w:t>inte</w:t>
      </w:r>
      <w:r w:rsidRPr="00B16165">
        <w:rPr>
          <w:b/>
          <w:lang w:val="sv-SE"/>
        </w:rPr>
        <w:t xml:space="preserve"> behandlas av </w:t>
      </w:r>
      <w:r>
        <w:rPr>
          <w:b/>
          <w:lang w:val="sv-SE"/>
        </w:rPr>
        <w:t xml:space="preserve">utskottet </w:t>
      </w:r>
      <w:r w:rsidR="003B17BC">
        <w:rPr>
          <w:b/>
          <w:lang w:val="sv-SE"/>
        </w:rPr>
        <w:t>”</w:t>
      </w:r>
      <w:r w:rsidRPr="00B16165">
        <w:rPr>
          <w:b/>
          <w:lang w:val="sv-SE"/>
        </w:rPr>
        <w:t>Oförstörande fältmätning</w:t>
      </w:r>
      <w:r>
        <w:rPr>
          <w:b/>
          <w:lang w:val="sv-SE"/>
        </w:rPr>
        <w:t>ar</w:t>
      </w:r>
      <w:r w:rsidR="003B17BC">
        <w:rPr>
          <w:b/>
          <w:lang w:val="sv-SE"/>
        </w:rPr>
        <w:t>”</w:t>
      </w:r>
      <w:r w:rsidRPr="00B16165">
        <w:rPr>
          <w:b/>
          <w:lang w:val="sv-SE"/>
        </w:rPr>
        <w:t>.</w:t>
      </w:r>
    </w:p>
    <w:p w:rsidR="00B16165" w:rsidRPr="00B16165" w:rsidRDefault="00B1616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b/>
          <w:sz w:val="18"/>
          <w:lang w:val="sv-SE"/>
        </w:rPr>
      </w:pPr>
      <w:r>
        <w:rPr>
          <w:rFonts w:asciiTheme="majorHAnsi" w:hAnsiTheme="majorHAnsi" w:cstheme="majorHAnsi"/>
          <w:b/>
          <w:sz w:val="18"/>
          <w:lang w:val="sv-SE"/>
        </w:rPr>
        <w:tab/>
      </w:r>
    </w:p>
    <w:p w:rsidR="00B16165" w:rsidRDefault="00CD38A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sz w:val="18"/>
          <w:lang w:val="sv-SE"/>
        </w:rPr>
      </w:pPr>
      <w:r w:rsidRPr="00EC394B">
        <w:rPr>
          <w:rFonts w:asciiTheme="majorHAnsi" w:hAnsiTheme="majorHAnsi" w:cstheme="majorHAnsi"/>
          <w:sz w:val="18"/>
          <w:lang w:val="sv-SE"/>
        </w:rPr>
        <w:t>VÄGUTRUSTNING</w:t>
      </w:r>
      <w:r w:rsidR="00057963">
        <w:rPr>
          <w:rFonts w:asciiTheme="majorHAnsi" w:hAnsiTheme="majorHAnsi" w:cstheme="majorHAnsi"/>
          <w:sz w:val="18"/>
          <w:lang w:val="sv-SE"/>
        </w:rPr>
        <w:tab/>
      </w:r>
      <w:r w:rsidRPr="00EC394B">
        <w:rPr>
          <w:rFonts w:asciiTheme="majorHAnsi" w:hAnsiTheme="majorHAnsi" w:cstheme="majorHAnsi"/>
          <w:sz w:val="18"/>
          <w:lang w:val="sv-SE"/>
        </w:rPr>
        <w:t>Skyltar (stolpe, ytegenskap</w:t>
      </w:r>
      <w:r w:rsidR="002C0406" w:rsidRPr="00EC394B">
        <w:rPr>
          <w:rFonts w:asciiTheme="majorHAnsi" w:hAnsiTheme="majorHAnsi" w:cstheme="majorHAnsi"/>
          <w:sz w:val="18"/>
          <w:lang w:val="sv-SE"/>
        </w:rPr>
        <w:t>,</w:t>
      </w:r>
      <w:r w:rsidRPr="00EC394B">
        <w:rPr>
          <w:rFonts w:asciiTheme="majorHAnsi" w:hAnsiTheme="majorHAnsi" w:cstheme="majorHAnsi"/>
          <w:sz w:val="18"/>
          <w:lang w:val="sv-SE"/>
        </w:rPr>
        <w:t xml:space="preserve"> synbarhet)</w:t>
      </w:r>
      <w:r w:rsidR="008E0B46">
        <w:rPr>
          <w:rFonts w:asciiTheme="majorHAnsi" w:hAnsiTheme="majorHAnsi" w:cstheme="majorHAnsi"/>
          <w:sz w:val="18"/>
          <w:lang w:val="sv-SE"/>
        </w:rPr>
        <w:t xml:space="preserve"> </w:t>
      </w:r>
    </w:p>
    <w:p w:rsidR="00B16165" w:rsidRDefault="00B1616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sz w:val="18"/>
          <w:lang w:val="sv-SE"/>
        </w:rPr>
      </w:pPr>
      <w:r>
        <w:rPr>
          <w:rFonts w:asciiTheme="majorHAnsi" w:hAnsiTheme="majorHAnsi" w:cstheme="majorHAnsi"/>
          <w:sz w:val="18"/>
          <w:lang w:val="sv-SE"/>
        </w:rPr>
        <w:tab/>
        <w:t>S</w:t>
      </w:r>
      <w:r w:rsidR="00CD38A5" w:rsidRPr="00EC394B">
        <w:rPr>
          <w:rFonts w:asciiTheme="majorHAnsi" w:hAnsiTheme="majorHAnsi" w:cstheme="majorHAnsi"/>
          <w:sz w:val="18"/>
          <w:lang w:val="sv-SE"/>
        </w:rPr>
        <w:t>taket</w:t>
      </w:r>
    </w:p>
    <w:p w:rsidR="00B16165" w:rsidRDefault="00B1616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sz w:val="18"/>
          <w:lang w:val="sv-SE"/>
        </w:rPr>
      </w:pPr>
      <w:r>
        <w:rPr>
          <w:rFonts w:asciiTheme="majorHAnsi" w:hAnsiTheme="majorHAnsi" w:cstheme="majorHAnsi"/>
          <w:sz w:val="18"/>
          <w:lang w:val="sv-SE"/>
        </w:rPr>
        <w:tab/>
        <w:t>T</w:t>
      </w:r>
      <w:r w:rsidR="00CD38A5" w:rsidRPr="00EC394B">
        <w:rPr>
          <w:rFonts w:asciiTheme="majorHAnsi" w:hAnsiTheme="majorHAnsi" w:cstheme="majorHAnsi"/>
          <w:sz w:val="18"/>
          <w:lang w:val="sv-SE"/>
        </w:rPr>
        <w:t>unnel</w:t>
      </w:r>
    </w:p>
    <w:p w:rsidR="00B16165" w:rsidRDefault="00B1616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sz w:val="18"/>
          <w:lang w:val="sv-SE"/>
        </w:rPr>
      </w:pPr>
      <w:r>
        <w:rPr>
          <w:rFonts w:asciiTheme="majorHAnsi" w:hAnsiTheme="majorHAnsi" w:cstheme="majorHAnsi"/>
          <w:sz w:val="18"/>
          <w:lang w:val="sv-SE"/>
        </w:rPr>
        <w:tab/>
        <w:t>B</w:t>
      </w:r>
      <w:r w:rsidR="00CD38A5" w:rsidRPr="00EC394B">
        <w:rPr>
          <w:rFonts w:asciiTheme="majorHAnsi" w:hAnsiTheme="majorHAnsi" w:cstheme="majorHAnsi"/>
          <w:sz w:val="18"/>
          <w:lang w:val="sv-SE"/>
        </w:rPr>
        <w:t>ro</w:t>
      </w:r>
    </w:p>
    <w:p w:rsidR="003A1245" w:rsidRDefault="00B1616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sz w:val="18"/>
          <w:lang w:val="sv-SE"/>
        </w:rPr>
      </w:pPr>
      <w:r>
        <w:rPr>
          <w:rFonts w:asciiTheme="majorHAnsi" w:hAnsiTheme="majorHAnsi" w:cstheme="majorHAnsi"/>
          <w:sz w:val="18"/>
          <w:lang w:val="sv-SE"/>
        </w:rPr>
        <w:tab/>
        <w:t>B</w:t>
      </w:r>
      <w:r w:rsidR="00CD38A5" w:rsidRPr="00EC394B">
        <w:rPr>
          <w:rFonts w:asciiTheme="majorHAnsi" w:hAnsiTheme="majorHAnsi" w:cstheme="majorHAnsi"/>
          <w:sz w:val="18"/>
          <w:lang w:val="sv-SE"/>
        </w:rPr>
        <w:t>elysning</w:t>
      </w:r>
    </w:p>
    <w:p w:rsidR="00B16165" w:rsidRPr="00EC394B" w:rsidRDefault="00B16165" w:rsidP="00B16165">
      <w:pPr>
        <w:pBdr>
          <w:top w:val="single" w:sz="4" w:space="1" w:color="auto"/>
          <w:left w:val="single" w:sz="4" w:space="4" w:color="auto"/>
          <w:bottom w:val="single" w:sz="4" w:space="1" w:color="auto"/>
          <w:right w:val="single" w:sz="4" w:space="4" w:color="auto"/>
        </w:pBdr>
        <w:tabs>
          <w:tab w:val="left" w:pos="1843"/>
        </w:tabs>
        <w:spacing w:after="0"/>
        <w:rPr>
          <w:rFonts w:asciiTheme="majorHAnsi" w:hAnsiTheme="majorHAnsi" w:cstheme="majorHAnsi"/>
          <w:sz w:val="18"/>
          <w:lang w:val="sv-SE"/>
        </w:rPr>
      </w:pPr>
    </w:p>
    <w:p w:rsidR="008E0B46" w:rsidRDefault="008E0B46" w:rsidP="003A1245">
      <w:pPr>
        <w:spacing w:after="0"/>
        <w:rPr>
          <w:b/>
          <w:lang w:val="sv-SE"/>
        </w:rPr>
      </w:pPr>
    </w:p>
    <w:p w:rsidR="0077148F" w:rsidRDefault="0077148F" w:rsidP="00365C26">
      <w:pPr>
        <w:pStyle w:val="Rubrik1"/>
        <w:rPr>
          <w:lang w:val="sv-SE"/>
        </w:rPr>
      </w:pPr>
    </w:p>
    <w:p w:rsidR="00365C26" w:rsidRDefault="00365C26" w:rsidP="0077148F">
      <w:pPr>
        <w:pStyle w:val="Rubrik1"/>
        <w:spacing w:before="240"/>
        <w:rPr>
          <w:lang w:val="sv-SE"/>
        </w:rPr>
      </w:pPr>
      <w:r>
        <w:rPr>
          <w:lang w:val="sv-SE"/>
        </w:rPr>
        <w:t>Fortsatt arbete</w:t>
      </w:r>
    </w:p>
    <w:p w:rsidR="00365C26" w:rsidRDefault="00365C26" w:rsidP="00365C26">
      <w:pPr>
        <w:rPr>
          <w:lang w:val="sv-SE"/>
        </w:rPr>
      </w:pPr>
      <w:r>
        <w:rPr>
          <w:lang w:val="sv-SE"/>
        </w:rPr>
        <w:t>Ovanstående ska ses som ett försök att strukturera området och är bra att ha i tankarna vid det fortsatta arbetet.  För att göra vår uppgift rimlig enades vi om att arbet</w:t>
      </w:r>
      <w:r w:rsidR="00320A9B">
        <w:rPr>
          <w:lang w:val="sv-SE"/>
        </w:rPr>
        <w:t>a</w:t>
      </w:r>
      <w:r>
        <w:rPr>
          <w:lang w:val="sv-SE"/>
        </w:rPr>
        <w:t xml:space="preserve"> efter en modell enligt nedan:</w:t>
      </w:r>
    </w:p>
    <w:p w:rsidR="00365C26" w:rsidRDefault="00365C26" w:rsidP="00320A9B">
      <w:pPr>
        <w:pBdr>
          <w:top w:val="single" w:sz="4" w:space="1" w:color="auto"/>
          <w:left w:val="single" w:sz="4" w:space="4" w:color="auto"/>
          <w:bottom w:val="single" w:sz="4" w:space="1" w:color="auto"/>
          <w:right w:val="single" w:sz="4" w:space="4" w:color="auto"/>
        </w:pBdr>
        <w:rPr>
          <w:lang w:val="sv-SE"/>
        </w:rPr>
      </w:pPr>
      <w:r>
        <w:rPr>
          <w:lang w:val="sv-SE"/>
        </w:rPr>
        <w:t>Funktionskrav</w:t>
      </w:r>
      <w:r w:rsidRPr="00365C26">
        <w:rPr>
          <w:lang w:val="sv-SE"/>
        </w:rPr>
        <w:sym w:font="Wingdings" w:char="F0E0"/>
      </w:r>
      <w:r w:rsidR="00320A9B">
        <w:rPr>
          <w:lang w:val="sv-SE"/>
        </w:rPr>
        <w:t>E</w:t>
      </w:r>
      <w:r>
        <w:rPr>
          <w:lang w:val="sv-SE"/>
        </w:rPr>
        <w:t>genskap</w:t>
      </w:r>
      <w:r w:rsidRPr="00365C26">
        <w:rPr>
          <w:lang w:val="sv-SE"/>
        </w:rPr>
        <w:sym w:font="Wingdings" w:char="F0E0"/>
      </w:r>
      <w:r w:rsidR="00320A9B">
        <w:rPr>
          <w:lang w:val="sv-SE"/>
        </w:rPr>
        <w:t>M</w:t>
      </w:r>
      <w:r>
        <w:rPr>
          <w:lang w:val="sv-SE"/>
        </w:rPr>
        <w:t>ätparameter</w:t>
      </w:r>
      <w:r w:rsidRPr="00365C26">
        <w:rPr>
          <w:lang w:val="sv-SE"/>
        </w:rPr>
        <w:sym w:font="Wingdings" w:char="F0E0"/>
      </w:r>
      <w:r w:rsidR="00320A9B">
        <w:rPr>
          <w:lang w:val="sv-SE"/>
        </w:rPr>
        <w:t>M</w:t>
      </w:r>
      <w:r>
        <w:rPr>
          <w:lang w:val="sv-SE"/>
        </w:rPr>
        <w:t>etod</w:t>
      </w:r>
      <w:r w:rsidRPr="00365C26">
        <w:rPr>
          <w:lang w:val="sv-SE"/>
        </w:rPr>
        <w:sym w:font="Wingdings" w:char="F0E0"/>
      </w:r>
      <w:r w:rsidR="00320A9B">
        <w:rPr>
          <w:lang w:val="sv-SE"/>
        </w:rPr>
        <w:t>F</w:t>
      </w:r>
      <w:r>
        <w:rPr>
          <w:lang w:val="sv-SE"/>
        </w:rPr>
        <w:t>inns standard?</w:t>
      </w:r>
      <w:r w:rsidR="00320A9B" w:rsidRPr="00320A9B">
        <w:rPr>
          <w:lang w:val="sv-SE"/>
        </w:rPr>
        <w:t xml:space="preserve"> </w:t>
      </w:r>
      <w:r w:rsidR="00320A9B" w:rsidRPr="00365C26">
        <w:rPr>
          <w:lang w:val="sv-SE"/>
        </w:rPr>
        <w:sym w:font="Wingdings" w:char="F0E0"/>
      </w:r>
      <w:r w:rsidR="00320A9B">
        <w:rPr>
          <w:lang w:val="sv-SE"/>
        </w:rPr>
        <w:t>R</w:t>
      </w:r>
      <w:r>
        <w:rPr>
          <w:lang w:val="sv-SE"/>
        </w:rPr>
        <w:t>elevans i metoden</w:t>
      </w:r>
      <w:r w:rsidR="00320A9B">
        <w:rPr>
          <w:lang w:val="sv-SE"/>
        </w:rPr>
        <w:t>!</w:t>
      </w:r>
    </w:p>
    <w:p w:rsidR="00365C26" w:rsidRDefault="00365C26" w:rsidP="00365C26">
      <w:pPr>
        <w:rPr>
          <w:lang w:val="sv-SE"/>
        </w:rPr>
      </w:pPr>
      <w:r>
        <w:rPr>
          <w:lang w:val="sv-SE"/>
        </w:rPr>
        <w:t>Viktiga frågor att besvara för varje enskild metod är: Vad ska den användas till och när ska den användas?</w:t>
      </w:r>
      <w:r w:rsidR="00320A9B">
        <w:rPr>
          <w:lang w:val="sv-SE"/>
        </w:rPr>
        <w:t xml:space="preserve"> Genom att studera listan vi har på metoder och placera in dessa i ovanstående styckningar så får vi förhoppningsvis en bild över läget och kan identifiera starka och svaga länkar.</w:t>
      </w:r>
    </w:p>
    <w:p w:rsidR="005E0660" w:rsidRDefault="005E0660" w:rsidP="00365C26">
      <w:pPr>
        <w:rPr>
          <w:lang w:val="sv-SE"/>
        </w:rPr>
      </w:pPr>
    </w:p>
    <w:p w:rsidR="00B16165" w:rsidRDefault="00B279F2" w:rsidP="00365C26">
      <w:pPr>
        <w:rPr>
          <w:lang w:val="sv-SE"/>
        </w:rPr>
      </w:pPr>
      <w:r>
        <w:rPr>
          <w:lang w:val="sv-SE"/>
        </w:rPr>
        <w:t xml:space="preserve">En sammanställning över </w:t>
      </w:r>
      <w:r w:rsidR="00B16165">
        <w:rPr>
          <w:lang w:val="sv-SE"/>
        </w:rPr>
        <w:t xml:space="preserve">de standarder som används i Sverige 2013 </w:t>
      </w:r>
      <w:r>
        <w:rPr>
          <w:lang w:val="sv-SE"/>
        </w:rPr>
        <w:t xml:space="preserve">finns i bilaga, </w:t>
      </w:r>
      <w:r w:rsidR="00843EE1">
        <w:rPr>
          <w:lang w:val="sv-SE"/>
        </w:rPr>
        <w:t xml:space="preserve">även </w:t>
      </w:r>
      <w:r w:rsidR="00B16165">
        <w:rPr>
          <w:lang w:val="sv-SE"/>
        </w:rPr>
        <w:t>uppdelade på typ av m</w:t>
      </w:r>
      <w:bookmarkStart w:id="0" w:name="_GoBack"/>
      <w:bookmarkEnd w:id="0"/>
      <w:r w:rsidR="00B16165">
        <w:rPr>
          <w:lang w:val="sv-SE"/>
        </w:rPr>
        <w:t>ätning</w:t>
      </w:r>
      <w:r>
        <w:rPr>
          <w:lang w:val="sv-SE"/>
        </w:rPr>
        <w:t xml:space="preserve"> (trafikfart, </w:t>
      </w:r>
      <w:r w:rsidR="005E0660">
        <w:rPr>
          <w:lang w:val="sv-SE"/>
        </w:rPr>
        <w:t xml:space="preserve">mobil </w:t>
      </w:r>
      <w:r>
        <w:rPr>
          <w:lang w:val="sv-SE"/>
        </w:rPr>
        <w:t>och statisk).</w:t>
      </w:r>
    </w:p>
    <w:p w:rsidR="00B279F2" w:rsidRDefault="00B279F2" w:rsidP="00365C26">
      <w:pPr>
        <w:rPr>
          <w:lang w:val="sv-SE"/>
        </w:rPr>
        <w:sectPr w:rsidR="00B279F2" w:rsidSect="00B279F2">
          <w:headerReference w:type="default" r:id="rId8"/>
          <w:headerReference w:type="first" r:id="rId9"/>
          <w:pgSz w:w="11906" w:h="16838"/>
          <w:pgMar w:top="851" w:right="1418" w:bottom="851" w:left="1418" w:header="709" w:footer="709" w:gutter="0"/>
          <w:cols w:space="708"/>
          <w:docGrid w:linePitch="360"/>
        </w:sectPr>
      </w:pPr>
    </w:p>
    <w:p w:rsidR="00CF6460" w:rsidRDefault="00CF6460" w:rsidP="00365C26">
      <w:pPr>
        <w:rPr>
          <w:lang w:val="sv-SE"/>
        </w:rPr>
      </w:pPr>
    </w:p>
    <w:p w:rsidR="008916B0" w:rsidRDefault="008916B0" w:rsidP="003A1245">
      <w:pPr>
        <w:jc w:val="center"/>
        <w:rPr>
          <w:lang w:val="sv-SE"/>
        </w:rPr>
      </w:pPr>
    </w:p>
    <w:p w:rsidR="005E0660" w:rsidRPr="005E0660" w:rsidRDefault="005E0660" w:rsidP="005E0660">
      <w:pPr>
        <w:spacing w:after="0" w:line="240" w:lineRule="auto"/>
        <w:jc w:val="center"/>
        <w:rPr>
          <w:rFonts w:ascii="Calibri" w:eastAsia="Times New Roman" w:hAnsi="Calibri" w:cs="Times New Roman"/>
          <w:b/>
          <w:bCs/>
          <w:color w:val="1F497D"/>
          <w:sz w:val="40"/>
          <w:szCs w:val="40"/>
          <w:lang w:val="sv-SE" w:eastAsia="sv-SE"/>
        </w:rPr>
      </w:pPr>
      <w:r w:rsidRPr="005E0660">
        <w:rPr>
          <w:rFonts w:ascii="Calibri" w:eastAsia="Times New Roman" w:hAnsi="Calibri" w:cs="Times New Roman"/>
          <w:b/>
          <w:bCs/>
          <w:color w:val="1F497D"/>
          <w:sz w:val="40"/>
          <w:szCs w:val="40"/>
          <w:lang w:val="sv-SE" w:eastAsia="sv-SE"/>
        </w:rPr>
        <w:t>Oförstörande fältmätningar</w:t>
      </w:r>
    </w:p>
    <w:p w:rsidR="005E0660" w:rsidRDefault="005E0660" w:rsidP="003A1245">
      <w:pPr>
        <w:jc w:val="center"/>
        <w:rPr>
          <w:lang w:val="sv-SE"/>
        </w:rPr>
      </w:pPr>
    </w:p>
    <w:p w:rsidR="005E0660" w:rsidRPr="005E0660" w:rsidRDefault="005E0660" w:rsidP="005E0660">
      <w:pPr>
        <w:spacing w:after="0" w:line="240" w:lineRule="auto"/>
        <w:jc w:val="center"/>
        <w:rPr>
          <w:rFonts w:ascii="Calibri" w:eastAsia="Times New Roman" w:hAnsi="Calibri" w:cs="Times New Roman"/>
          <w:b/>
          <w:bCs/>
          <w:color w:val="1F497D"/>
          <w:sz w:val="28"/>
          <w:szCs w:val="28"/>
          <w:lang w:val="sv-SE" w:eastAsia="sv-SE"/>
        </w:rPr>
      </w:pPr>
      <w:r w:rsidRPr="005E0660">
        <w:rPr>
          <w:rFonts w:ascii="Calibri" w:eastAsia="Times New Roman" w:hAnsi="Calibri" w:cs="Times New Roman"/>
          <w:b/>
          <w:bCs/>
          <w:color w:val="1F497D"/>
          <w:sz w:val="28"/>
          <w:szCs w:val="28"/>
          <w:lang w:val="sv-SE" w:eastAsia="sv-SE"/>
        </w:rPr>
        <w:t>Lista över de standarder som används i Sverige 2013</w:t>
      </w:r>
    </w:p>
    <w:tbl>
      <w:tblPr>
        <w:tblW w:w="8780" w:type="dxa"/>
        <w:tblInd w:w="55" w:type="dxa"/>
        <w:tblCellMar>
          <w:left w:w="70" w:type="dxa"/>
          <w:right w:w="70" w:type="dxa"/>
        </w:tblCellMar>
        <w:tblLook w:val="04A0" w:firstRow="1" w:lastRow="0" w:firstColumn="1" w:lastColumn="0" w:noHBand="0" w:noVBand="1"/>
      </w:tblPr>
      <w:tblGrid>
        <w:gridCol w:w="1580"/>
        <w:gridCol w:w="880"/>
        <w:gridCol w:w="6320"/>
      </w:tblGrid>
      <w:tr w:rsidR="005E0660" w:rsidRPr="005E0660" w:rsidTr="005E0660">
        <w:trPr>
          <w:trHeight w:val="240"/>
        </w:trPr>
        <w:tc>
          <w:tcPr>
            <w:tcW w:w="158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Metod</w:t>
            </w:r>
          </w:p>
        </w:tc>
        <w:tc>
          <w:tcPr>
            <w:tcW w:w="88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jc w:val="center"/>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Utgåva</w:t>
            </w:r>
          </w:p>
        </w:tc>
        <w:tc>
          <w:tcPr>
            <w:tcW w:w="632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Titel</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80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1987</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reflektans</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82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1987</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friktion</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104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1990</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friktion på belagd yta</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VVMB 106</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2005</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Bedömning av grusväglag</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107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ojämnheter och tvärfall med rätskiva</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108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1994</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tvärfall med bogserad mätvagn</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VVMB110</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Friktionsmätning av vinterväglag (Retardation)</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TRVMB 350</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2012</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Slänträcken - Klassificering, prestandakrav vid kollisionsprovning och provningsmetoder - publikation 2012:054</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TRVMB 112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2012</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Deflektionsmätning vid provbelastning med fallviktsapparat</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TRVMB 114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2012</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Bearbetning av deflektionsmätdata, erhållna vid provbelastning av väg med FWD-apparat</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117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Yttäckande homogenitetsmätning med isotopmätare DOR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118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hålrumshalt hos asfaltbeläggningar med georadarmetoden</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119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Metod för termografisk mätning</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120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Inventering och värdering av befintlig väg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121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Vägytemätning med mätbil; vägnätsmätning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122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Vägytemätning med mätbil; objektmätning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VVMB 501</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Funktionskontroll av vägmarkering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603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1994</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Yttäckande packningskontroll</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605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densitet och vattenkvot med isotopmätare. T.ex. Troxler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606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bärighetsegenskaper med statisk plattbelastning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908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1994</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Statistisk acceptanskontroll</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13036-1</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2010</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makrotexturens djup hos en beläggningsyta (Sand patch)</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SS-EN 13036-3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vägytans horisontella dräneringsförmåga - Utflödesmetoden (Textur)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13036-4</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en ytas friktionsegenskaper - Pendelmetoden</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13036-6</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2008</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tvär- och längsgående profiler i våglängdsområdena för jämnhet och megatextur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SS-EN 13036-7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singulära ojämnheter på vägbeläggningar - Rätskenemetoden</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13036-8</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2008</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tvärgående ojämnhetsindex</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ISO 13473-1</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2004</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medelprofildjup, MPD</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SS-ISO 13473-2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2002</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Terminologi och grundläggande krav i relation till texturprofilanalys</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SS-ISO 13473-3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2002</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Specifikationer och klassificering av profilometrar</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ISO/TS 13473-4</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2008</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en-US" w:eastAsia="sv-SE"/>
              </w:rPr>
              <w:t xml:space="preserve">Spectral analysis of surface profiles. </w:t>
            </w:r>
            <w:r w:rsidRPr="005E0660">
              <w:rPr>
                <w:rFonts w:ascii="Calibri" w:eastAsia="Times New Roman" w:hAnsi="Calibri" w:cs="Times New Roman"/>
                <w:color w:val="000000"/>
                <w:sz w:val="18"/>
                <w:szCs w:val="18"/>
                <w:lang w:val="sv-SE" w:eastAsia="sv-SE"/>
              </w:rPr>
              <w:t>Textur</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ISO 13473-5</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Bestämning av megatextur </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SS-EN ISO 11819-1 </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vägytans inflytande på trafikbuller</w:t>
            </w:r>
            <w:r w:rsidRPr="005E0660">
              <w:rPr>
                <w:rFonts w:ascii="Calibri" w:eastAsia="Times New Roman" w:hAnsi="Calibri" w:cs="Times New Roman"/>
                <w:color w:val="000000"/>
                <w:sz w:val="18"/>
                <w:szCs w:val="18"/>
                <w:lang w:val="sv-SE" w:eastAsia="sv-SE"/>
              </w:rPr>
              <w:br/>
              <w:t>Statistisk förbifartsmetod</w:t>
            </w:r>
          </w:p>
        </w:tc>
      </w:tr>
      <w:tr w:rsidR="005E0660" w:rsidRPr="005E0660"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CEN/TS 15901-1-13</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2009-2011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en-US" w:eastAsia="sv-SE"/>
              </w:rPr>
            </w:pPr>
            <w:r w:rsidRPr="005E0660">
              <w:rPr>
                <w:rFonts w:ascii="Calibri" w:eastAsia="Times New Roman" w:hAnsi="Calibri" w:cs="Times New Roman"/>
                <w:color w:val="000000"/>
                <w:sz w:val="18"/>
                <w:szCs w:val="18"/>
                <w:lang w:val="en-US" w:eastAsia="sv-SE"/>
              </w:rPr>
              <w:t>Procedure for determining the skid resistance of a pavement surface using different devices</w:t>
            </w:r>
          </w:p>
        </w:tc>
      </w:tr>
    </w:tbl>
    <w:p w:rsidR="005E0660" w:rsidRDefault="005E0660" w:rsidP="003A1245">
      <w:pPr>
        <w:jc w:val="center"/>
        <w:rPr>
          <w:lang w:val="en-US"/>
        </w:rPr>
      </w:pPr>
    </w:p>
    <w:p w:rsidR="005E0660" w:rsidRDefault="005E0660" w:rsidP="003A1245">
      <w:pPr>
        <w:jc w:val="center"/>
        <w:rPr>
          <w:lang w:val="en-US"/>
        </w:rPr>
      </w:pPr>
    </w:p>
    <w:p w:rsidR="005E0660" w:rsidRDefault="005E0660" w:rsidP="003A1245">
      <w:pPr>
        <w:jc w:val="center"/>
        <w:rPr>
          <w:lang w:val="en-US"/>
        </w:rPr>
      </w:pPr>
    </w:p>
    <w:p w:rsidR="005E0660" w:rsidRDefault="005E0660" w:rsidP="003A1245">
      <w:pPr>
        <w:jc w:val="center"/>
        <w:rPr>
          <w:lang w:val="en-US"/>
        </w:rPr>
      </w:pPr>
    </w:p>
    <w:p w:rsidR="005E0660" w:rsidRDefault="005E0660" w:rsidP="003A1245">
      <w:pPr>
        <w:jc w:val="center"/>
        <w:rPr>
          <w:lang w:val="en-US"/>
        </w:rPr>
      </w:pPr>
    </w:p>
    <w:p w:rsidR="005E0660" w:rsidRDefault="005E0660" w:rsidP="003A1245">
      <w:pPr>
        <w:jc w:val="center"/>
        <w:rPr>
          <w:lang w:val="en-US"/>
        </w:rPr>
      </w:pPr>
    </w:p>
    <w:p w:rsidR="005E0660" w:rsidRPr="005E0660" w:rsidRDefault="005E0660" w:rsidP="005E0660">
      <w:pPr>
        <w:spacing w:after="0" w:line="240" w:lineRule="auto"/>
        <w:jc w:val="center"/>
        <w:rPr>
          <w:rFonts w:ascii="Calibri" w:eastAsia="Times New Roman" w:hAnsi="Calibri" w:cs="Times New Roman"/>
          <w:b/>
          <w:bCs/>
          <w:color w:val="1F497D"/>
          <w:sz w:val="36"/>
          <w:szCs w:val="36"/>
          <w:lang w:val="sv-SE" w:eastAsia="sv-SE"/>
        </w:rPr>
      </w:pPr>
      <w:r w:rsidRPr="005E0660">
        <w:rPr>
          <w:rFonts w:ascii="Calibri" w:eastAsia="Times New Roman" w:hAnsi="Calibri" w:cs="Times New Roman"/>
          <w:b/>
          <w:bCs/>
          <w:color w:val="1F497D"/>
          <w:sz w:val="36"/>
          <w:szCs w:val="36"/>
          <w:lang w:val="sv-SE" w:eastAsia="sv-SE"/>
        </w:rPr>
        <w:t>Uppdelade på "Typ av mätning"</w:t>
      </w:r>
    </w:p>
    <w:p w:rsidR="005E0660" w:rsidRDefault="005E0660" w:rsidP="003A1245">
      <w:pPr>
        <w:jc w:val="center"/>
        <w:rPr>
          <w:lang w:val="sv-SE"/>
        </w:rPr>
      </w:pPr>
    </w:p>
    <w:p w:rsidR="005E0660" w:rsidRPr="005E0660" w:rsidRDefault="005E0660" w:rsidP="005E0660">
      <w:pPr>
        <w:spacing w:after="0" w:line="240" w:lineRule="auto"/>
        <w:jc w:val="center"/>
        <w:rPr>
          <w:rFonts w:ascii="Calibri" w:eastAsia="Times New Roman" w:hAnsi="Calibri" w:cs="Times New Roman"/>
          <w:b/>
          <w:bCs/>
          <w:color w:val="1F497D"/>
          <w:sz w:val="28"/>
          <w:szCs w:val="28"/>
          <w:lang w:val="sv-SE" w:eastAsia="sv-SE"/>
        </w:rPr>
      </w:pPr>
      <w:r w:rsidRPr="005E0660">
        <w:rPr>
          <w:rFonts w:ascii="Calibri" w:eastAsia="Times New Roman" w:hAnsi="Calibri" w:cs="Times New Roman"/>
          <w:b/>
          <w:bCs/>
          <w:color w:val="1F497D"/>
          <w:sz w:val="28"/>
          <w:szCs w:val="28"/>
          <w:lang w:val="sv-SE" w:eastAsia="sv-SE"/>
        </w:rPr>
        <w:t>Mätningar i trafikfart</w:t>
      </w:r>
    </w:p>
    <w:tbl>
      <w:tblPr>
        <w:tblW w:w="8780" w:type="dxa"/>
        <w:tblInd w:w="55" w:type="dxa"/>
        <w:tblCellMar>
          <w:left w:w="70" w:type="dxa"/>
          <w:right w:w="70" w:type="dxa"/>
        </w:tblCellMar>
        <w:tblLook w:val="04A0" w:firstRow="1" w:lastRow="0" w:firstColumn="1" w:lastColumn="0" w:noHBand="0" w:noVBand="1"/>
      </w:tblPr>
      <w:tblGrid>
        <w:gridCol w:w="1580"/>
        <w:gridCol w:w="880"/>
        <w:gridCol w:w="6320"/>
      </w:tblGrid>
      <w:tr w:rsidR="005E0660" w:rsidRPr="005E0660" w:rsidTr="005E0660">
        <w:trPr>
          <w:trHeight w:val="240"/>
        </w:trPr>
        <w:tc>
          <w:tcPr>
            <w:tcW w:w="158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Metod</w:t>
            </w:r>
          </w:p>
        </w:tc>
        <w:tc>
          <w:tcPr>
            <w:tcW w:w="88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jc w:val="center"/>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Utgåva</w:t>
            </w:r>
          </w:p>
        </w:tc>
        <w:tc>
          <w:tcPr>
            <w:tcW w:w="632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Titel</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104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1990</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friktion på belagd yta</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VVMB110</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Friktionsmätning av vinterväglag (Retardation)</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118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hålrumshalt hos asfaltbeläggningar med georadarmetoden</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121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Vägytemätning med mätbil; vägnätsmätning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122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Vägytemätning med mätbil; objektmätning</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SS-EN 13036-6</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2008</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tvär- och längsgående profiler i våglängdsområdena för jämnhet och megatextur</w:t>
            </w:r>
          </w:p>
        </w:tc>
      </w:tr>
      <w:tr w:rsidR="005E0660" w:rsidRPr="005E0660"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CEN/TS 15901-1-13</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2009-2011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en-US" w:eastAsia="sv-SE"/>
              </w:rPr>
            </w:pPr>
            <w:r w:rsidRPr="005E0660">
              <w:rPr>
                <w:rFonts w:ascii="Calibri" w:eastAsia="Times New Roman" w:hAnsi="Calibri" w:cs="Times New Roman"/>
                <w:color w:val="000000"/>
                <w:sz w:val="18"/>
                <w:szCs w:val="18"/>
                <w:lang w:val="en-US" w:eastAsia="sv-SE"/>
              </w:rPr>
              <w:t>Procedure for determining the skid resistance of a pavement surface using different devices</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TRV 2009:23</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Kontrollmätning av längsgående vägmarkeringar med mätbil</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sz w:val="18"/>
                <w:szCs w:val="18"/>
                <w:lang w:val="sv-SE" w:eastAsia="sv-SE"/>
              </w:rPr>
            </w:pPr>
            <w:r w:rsidRPr="005E0660">
              <w:rPr>
                <w:rFonts w:ascii="Calibri" w:eastAsia="Times New Roman" w:hAnsi="Calibri" w:cs="Times New Roman"/>
                <w:sz w:val="18"/>
                <w:szCs w:val="18"/>
                <w:lang w:val="sv-SE" w:eastAsia="sv-SE"/>
              </w:rPr>
              <w:t>ISO/DIS 11819-2</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sz w:val="18"/>
                <w:szCs w:val="18"/>
                <w:lang w:val="sv-SE" w:eastAsia="sv-SE"/>
              </w:rPr>
            </w:pPr>
            <w:r w:rsidRPr="005E0660">
              <w:rPr>
                <w:rFonts w:ascii="Calibri" w:eastAsia="Times New Roman" w:hAnsi="Calibri" w:cs="Times New Roman"/>
                <w:sz w:val="18"/>
                <w:szCs w:val="18"/>
                <w:lang w:val="sv-SE" w:eastAsia="sv-SE"/>
              </w:rPr>
              <w:t>?</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sz w:val="18"/>
                <w:szCs w:val="18"/>
                <w:lang w:val="sv-SE" w:eastAsia="sv-SE"/>
              </w:rPr>
            </w:pPr>
            <w:r w:rsidRPr="005E0660">
              <w:rPr>
                <w:rFonts w:ascii="Calibri" w:eastAsia="Times New Roman" w:hAnsi="Calibri" w:cs="Times New Roman"/>
                <w:sz w:val="18"/>
                <w:szCs w:val="18"/>
                <w:lang w:val="sv-SE" w:eastAsia="sv-SE"/>
              </w:rPr>
              <w:t xml:space="preserve">close-proximity (CPX) method. </w:t>
            </w:r>
          </w:p>
        </w:tc>
      </w:tr>
    </w:tbl>
    <w:p w:rsidR="005E0660" w:rsidRDefault="005E0660" w:rsidP="003A1245">
      <w:pPr>
        <w:jc w:val="center"/>
        <w:rPr>
          <w:lang w:val="sv-SE"/>
        </w:rPr>
      </w:pPr>
    </w:p>
    <w:p w:rsidR="005E0660" w:rsidRPr="005E0660" w:rsidRDefault="005E0660" w:rsidP="005E0660">
      <w:pPr>
        <w:spacing w:after="0" w:line="240" w:lineRule="auto"/>
        <w:jc w:val="center"/>
        <w:rPr>
          <w:rFonts w:ascii="Calibri" w:eastAsia="Times New Roman" w:hAnsi="Calibri" w:cs="Times New Roman"/>
          <w:b/>
          <w:bCs/>
          <w:color w:val="1F497D"/>
          <w:sz w:val="28"/>
          <w:szCs w:val="28"/>
          <w:lang w:val="sv-SE" w:eastAsia="sv-SE"/>
        </w:rPr>
      </w:pPr>
      <w:r w:rsidRPr="005E0660">
        <w:rPr>
          <w:rFonts w:ascii="Calibri" w:eastAsia="Times New Roman" w:hAnsi="Calibri" w:cs="Times New Roman"/>
          <w:b/>
          <w:bCs/>
          <w:color w:val="1F497D"/>
          <w:sz w:val="28"/>
          <w:szCs w:val="28"/>
          <w:lang w:val="sv-SE" w:eastAsia="sv-SE"/>
        </w:rPr>
        <w:t>Mobila mätningar (intermittent)</w:t>
      </w:r>
    </w:p>
    <w:tbl>
      <w:tblPr>
        <w:tblW w:w="8780" w:type="dxa"/>
        <w:tblInd w:w="55" w:type="dxa"/>
        <w:tblCellMar>
          <w:left w:w="70" w:type="dxa"/>
          <w:right w:w="70" w:type="dxa"/>
        </w:tblCellMar>
        <w:tblLook w:val="04A0" w:firstRow="1" w:lastRow="0" w:firstColumn="1" w:lastColumn="0" w:noHBand="0" w:noVBand="1"/>
      </w:tblPr>
      <w:tblGrid>
        <w:gridCol w:w="1580"/>
        <w:gridCol w:w="880"/>
        <w:gridCol w:w="6320"/>
      </w:tblGrid>
      <w:tr w:rsidR="005E0660" w:rsidRPr="005E0660" w:rsidTr="005E0660">
        <w:trPr>
          <w:trHeight w:val="240"/>
        </w:trPr>
        <w:tc>
          <w:tcPr>
            <w:tcW w:w="158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Metod</w:t>
            </w:r>
          </w:p>
        </w:tc>
        <w:tc>
          <w:tcPr>
            <w:tcW w:w="88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jc w:val="center"/>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Utgåva</w:t>
            </w:r>
          </w:p>
        </w:tc>
        <w:tc>
          <w:tcPr>
            <w:tcW w:w="632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Titel</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VVMB 106</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2005</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Bedömning av grusväglag</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108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1994</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Bestämning av tvärfall med bogserad mätvagn</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VVMB110</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Friktionsmätning av vinterväglag (Retardation)</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TRVMB 112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2012</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Deflektionsmätning vid provbelastning med fallviktsapparat</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117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Yttäckande homogenitetsmätning med isotopmätare DOR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118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Mätning av hålrumshalt hos asfaltbeläggningar med georadarmetoden</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119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2006</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Metod för termografisk mätning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 xml:space="preserve">VVMB 603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1994</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000000"/>
                <w:sz w:val="18"/>
                <w:szCs w:val="18"/>
                <w:lang w:val="sv-SE" w:eastAsia="sv-SE"/>
              </w:rPr>
            </w:pPr>
            <w:r w:rsidRPr="005E0660">
              <w:rPr>
                <w:rFonts w:ascii="Calibri" w:eastAsia="Times New Roman" w:hAnsi="Calibri" w:cs="Times New Roman"/>
                <w:color w:val="000000"/>
                <w:sz w:val="18"/>
                <w:szCs w:val="18"/>
                <w:lang w:val="sv-SE" w:eastAsia="sv-SE"/>
              </w:rPr>
              <w:t>Yttäckande packningskontroll</w:t>
            </w:r>
          </w:p>
        </w:tc>
      </w:tr>
    </w:tbl>
    <w:p w:rsidR="005E0660" w:rsidRDefault="005E0660" w:rsidP="003A1245">
      <w:pPr>
        <w:jc w:val="center"/>
        <w:rPr>
          <w:lang w:val="sv-SE"/>
        </w:rPr>
      </w:pPr>
    </w:p>
    <w:p w:rsidR="005E0660" w:rsidRPr="005E0660" w:rsidRDefault="005E0660" w:rsidP="005E0660">
      <w:pPr>
        <w:spacing w:after="0" w:line="240" w:lineRule="auto"/>
        <w:jc w:val="center"/>
        <w:rPr>
          <w:rFonts w:ascii="Calibri" w:eastAsia="Times New Roman" w:hAnsi="Calibri" w:cs="Times New Roman"/>
          <w:b/>
          <w:bCs/>
          <w:color w:val="1F497D"/>
          <w:sz w:val="28"/>
          <w:szCs w:val="28"/>
          <w:lang w:val="sv-SE" w:eastAsia="sv-SE"/>
        </w:rPr>
      </w:pPr>
      <w:r w:rsidRPr="005E0660">
        <w:rPr>
          <w:rFonts w:ascii="Calibri" w:eastAsia="Times New Roman" w:hAnsi="Calibri" w:cs="Times New Roman"/>
          <w:b/>
          <w:bCs/>
          <w:color w:val="1F497D"/>
          <w:sz w:val="28"/>
          <w:szCs w:val="28"/>
          <w:lang w:val="sv-SE" w:eastAsia="sv-SE"/>
        </w:rPr>
        <w:t>Statisk mätning</w:t>
      </w:r>
    </w:p>
    <w:tbl>
      <w:tblPr>
        <w:tblW w:w="8780" w:type="dxa"/>
        <w:tblInd w:w="55" w:type="dxa"/>
        <w:tblCellMar>
          <w:left w:w="70" w:type="dxa"/>
          <w:right w:w="70" w:type="dxa"/>
        </w:tblCellMar>
        <w:tblLook w:val="04A0" w:firstRow="1" w:lastRow="0" w:firstColumn="1" w:lastColumn="0" w:noHBand="0" w:noVBand="1"/>
      </w:tblPr>
      <w:tblGrid>
        <w:gridCol w:w="1580"/>
        <w:gridCol w:w="880"/>
        <w:gridCol w:w="6320"/>
      </w:tblGrid>
      <w:tr w:rsidR="005E0660" w:rsidRPr="005E0660" w:rsidTr="005E0660">
        <w:trPr>
          <w:trHeight w:val="240"/>
        </w:trPr>
        <w:tc>
          <w:tcPr>
            <w:tcW w:w="1580"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Metod</w:t>
            </w:r>
          </w:p>
        </w:tc>
        <w:tc>
          <w:tcPr>
            <w:tcW w:w="88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jc w:val="center"/>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Utgåva</w:t>
            </w:r>
          </w:p>
        </w:tc>
        <w:tc>
          <w:tcPr>
            <w:tcW w:w="6320" w:type="dxa"/>
            <w:tcBorders>
              <w:top w:val="single" w:sz="4" w:space="0" w:color="auto"/>
              <w:left w:val="nil"/>
              <w:bottom w:val="single" w:sz="4" w:space="0" w:color="auto"/>
              <w:right w:val="single" w:sz="4" w:space="0" w:color="auto"/>
            </w:tcBorders>
            <w:shd w:val="clear" w:color="000000" w:fill="92CDDC"/>
            <w:vAlign w:val="center"/>
            <w:hideMark/>
          </w:tcPr>
          <w:p w:rsidR="005E0660" w:rsidRPr="005E0660" w:rsidRDefault="005E0660" w:rsidP="005E0660">
            <w:pPr>
              <w:spacing w:after="0" w:line="240" w:lineRule="auto"/>
              <w:rPr>
                <w:rFonts w:ascii="Calibri" w:eastAsia="Times New Roman" w:hAnsi="Calibri" w:cs="Times New Roman"/>
                <w:b/>
                <w:bCs/>
                <w:color w:val="000000"/>
                <w:sz w:val="18"/>
                <w:szCs w:val="18"/>
                <w:lang w:val="sv-SE" w:eastAsia="sv-SE"/>
              </w:rPr>
            </w:pPr>
            <w:r w:rsidRPr="005E0660">
              <w:rPr>
                <w:rFonts w:ascii="Calibri" w:eastAsia="Times New Roman" w:hAnsi="Calibri" w:cs="Times New Roman"/>
                <w:b/>
                <w:bCs/>
                <w:color w:val="000000"/>
                <w:sz w:val="18"/>
                <w:szCs w:val="18"/>
                <w:lang w:val="sv-SE" w:eastAsia="sv-SE"/>
              </w:rPr>
              <w:t>Titel</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VVMB 80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1987</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Bestämning av reflektans</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VVMB 82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1987</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Bestämning av friktion</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VVMB 107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2001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Bestämning av ojämnheter och tvärfall med rätskiva</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VVMB 501</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2001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Funktionskontroll av vägmarkering</w:t>
            </w:r>
          </w:p>
        </w:tc>
      </w:tr>
      <w:tr w:rsidR="005E0660" w:rsidRPr="005E0660"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VVMB 605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1993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Bestämning av densitet och vattenkvot med isotopmätare. T.ex. Troxler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VVMB 606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1993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Bestämning av bärighetsegenskaper med statisk plattbelastning</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SS-EN 13036-1</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2010</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Mätning av makrotexturens djup hos en beläggningsyta (Sand patch)</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SS-EN 13036-3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2003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Mätning av vägytans horisontella dräneringsförmåga - Utflödesmetoden (Textur)</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SS-EN 13036-4</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2011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Mätning av en ytas friktionsegenskaper - Pendelmetoden</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SS-EN 13036-7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2003</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Mätning av singulära ojämnheter på vägbeläggningar - Rätskenemetoden</w:t>
            </w:r>
          </w:p>
        </w:tc>
      </w:tr>
      <w:tr w:rsidR="005E0660" w:rsidRPr="0077148F" w:rsidTr="005E0660">
        <w:trPr>
          <w:trHeight w:val="48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SS-EN ISO 11819-1 </w:t>
            </w:r>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2001</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Mätning av vägytans inflytande på trafikbuller</w:t>
            </w:r>
            <w:r w:rsidRPr="005E0660">
              <w:rPr>
                <w:rFonts w:ascii="Calibri" w:eastAsia="Times New Roman" w:hAnsi="Calibri" w:cs="Times New Roman"/>
                <w:color w:val="1F497D"/>
                <w:sz w:val="18"/>
                <w:szCs w:val="18"/>
                <w:lang w:val="sv-SE" w:eastAsia="sv-SE"/>
              </w:rPr>
              <w:br/>
              <w:t>Statistisk förbifartsmetod</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TRV 2009:54</w:t>
            </w:r>
          </w:p>
        </w:tc>
        <w:tc>
          <w:tcPr>
            <w:tcW w:w="88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2009</w:t>
            </w:r>
          </w:p>
        </w:tc>
        <w:tc>
          <w:tcPr>
            <w:tcW w:w="6320" w:type="dxa"/>
            <w:tcBorders>
              <w:top w:val="nil"/>
              <w:left w:val="nil"/>
              <w:bottom w:val="single" w:sz="4" w:space="0" w:color="auto"/>
              <w:right w:val="single" w:sz="4" w:space="0" w:color="auto"/>
            </w:tcBorders>
            <w:shd w:val="clear" w:color="000000" w:fill="B7DEE8"/>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Bussar och gupp Bilaga 3, Enkel rätsk</w:t>
            </w:r>
            <w:r>
              <w:rPr>
                <w:rFonts w:ascii="Calibri" w:eastAsia="Times New Roman" w:hAnsi="Calibri" w:cs="Times New Roman"/>
                <w:color w:val="1F497D"/>
                <w:sz w:val="18"/>
                <w:szCs w:val="18"/>
                <w:lang w:val="sv-SE" w:eastAsia="sv-SE"/>
              </w:rPr>
              <w:t>ene</w:t>
            </w:r>
            <w:r w:rsidRPr="005E0660">
              <w:rPr>
                <w:rFonts w:ascii="Calibri" w:eastAsia="Times New Roman" w:hAnsi="Calibri" w:cs="Times New Roman"/>
                <w:color w:val="1F497D"/>
                <w:sz w:val="18"/>
                <w:szCs w:val="18"/>
                <w:lang w:val="sv-SE" w:eastAsia="sv-SE"/>
              </w:rPr>
              <w:t>metod</w:t>
            </w:r>
          </w:p>
        </w:tc>
      </w:tr>
      <w:tr w:rsidR="005E0660" w:rsidRPr="0077148F" w:rsidTr="005E0660">
        <w:trPr>
          <w:trHeight w:val="240"/>
        </w:trPr>
        <w:tc>
          <w:tcPr>
            <w:tcW w:w="1580" w:type="dxa"/>
            <w:tcBorders>
              <w:top w:val="nil"/>
              <w:left w:val="single" w:sz="4" w:space="0" w:color="auto"/>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 xml:space="preserve">SS-EN </w:t>
            </w:r>
            <w:proofErr w:type="gramStart"/>
            <w:r w:rsidRPr="005E0660">
              <w:rPr>
                <w:rFonts w:ascii="Calibri" w:eastAsia="Times New Roman" w:hAnsi="Calibri" w:cs="Times New Roman"/>
                <w:color w:val="1F497D"/>
                <w:sz w:val="18"/>
                <w:szCs w:val="18"/>
                <w:lang w:val="sv-SE" w:eastAsia="sv-SE"/>
              </w:rPr>
              <w:t>12697-40</w:t>
            </w:r>
            <w:proofErr w:type="gramEnd"/>
          </w:p>
        </w:tc>
        <w:tc>
          <w:tcPr>
            <w:tcW w:w="88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jc w:val="center"/>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2012</w:t>
            </w:r>
          </w:p>
        </w:tc>
        <w:tc>
          <w:tcPr>
            <w:tcW w:w="6320" w:type="dxa"/>
            <w:tcBorders>
              <w:top w:val="nil"/>
              <w:left w:val="nil"/>
              <w:bottom w:val="single" w:sz="4" w:space="0" w:color="auto"/>
              <w:right w:val="single" w:sz="4" w:space="0" w:color="auto"/>
            </w:tcBorders>
            <w:shd w:val="clear" w:color="000000" w:fill="B7DEE8"/>
            <w:noWrap/>
            <w:vAlign w:val="center"/>
            <w:hideMark/>
          </w:tcPr>
          <w:p w:rsidR="005E0660" w:rsidRPr="005E0660" w:rsidRDefault="005E0660" w:rsidP="005E0660">
            <w:pPr>
              <w:spacing w:after="0" w:line="240" w:lineRule="auto"/>
              <w:rPr>
                <w:rFonts w:ascii="Calibri" w:eastAsia="Times New Roman" w:hAnsi="Calibri" w:cs="Times New Roman"/>
                <w:color w:val="1F497D"/>
                <w:sz w:val="18"/>
                <w:szCs w:val="18"/>
                <w:lang w:val="sv-SE" w:eastAsia="sv-SE"/>
              </w:rPr>
            </w:pPr>
            <w:r w:rsidRPr="005E0660">
              <w:rPr>
                <w:rFonts w:ascii="Calibri" w:eastAsia="Times New Roman" w:hAnsi="Calibri" w:cs="Times New Roman"/>
                <w:color w:val="1F497D"/>
                <w:sz w:val="18"/>
                <w:szCs w:val="18"/>
                <w:lang w:val="sv-SE" w:eastAsia="sv-SE"/>
              </w:rPr>
              <w:t>Dräneringsförmåga in situ hos beläggningsytlager</w:t>
            </w:r>
          </w:p>
        </w:tc>
      </w:tr>
    </w:tbl>
    <w:p w:rsidR="005E0660" w:rsidRPr="005E0660" w:rsidRDefault="005E0660" w:rsidP="003A1245">
      <w:pPr>
        <w:jc w:val="center"/>
        <w:rPr>
          <w:lang w:val="sv-SE"/>
        </w:rPr>
      </w:pPr>
    </w:p>
    <w:sectPr w:rsidR="005E0660" w:rsidRPr="005E0660" w:rsidSect="00B279F2">
      <w:head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4B" w:rsidRDefault="00EC394B" w:rsidP="00EC394B">
      <w:pPr>
        <w:spacing w:after="0" w:line="240" w:lineRule="auto"/>
      </w:pPr>
      <w:r>
        <w:separator/>
      </w:r>
    </w:p>
  </w:endnote>
  <w:endnote w:type="continuationSeparator" w:id="0">
    <w:p w:rsidR="00EC394B" w:rsidRDefault="00EC394B" w:rsidP="00EC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4B" w:rsidRDefault="00EC394B" w:rsidP="00EC394B">
      <w:pPr>
        <w:spacing w:after="0" w:line="240" w:lineRule="auto"/>
      </w:pPr>
      <w:r>
        <w:separator/>
      </w:r>
    </w:p>
  </w:footnote>
  <w:footnote w:type="continuationSeparator" w:id="0">
    <w:p w:rsidR="00EC394B" w:rsidRDefault="00EC394B" w:rsidP="00EC3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4B" w:rsidRPr="00B279F2" w:rsidRDefault="00EC394B" w:rsidP="00EC394B">
    <w:pPr>
      <w:pStyle w:val="Rubrik"/>
      <w:tabs>
        <w:tab w:val="left" w:pos="1134"/>
      </w:tabs>
      <w:spacing w:after="120"/>
      <w:ind w:left="1134"/>
      <w:rPr>
        <w:color w:val="1F497D" w:themeColor="text2"/>
      </w:rPr>
    </w:pPr>
    <w:r w:rsidRPr="00B279F2">
      <w:rPr>
        <w:noProof/>
        <w:color w:val="1F497D" w:themeColor="text2"/>
        <w:lang w:val="sv-SE" w:eastAsia="sv-SE"/>
      </w:rPr>
      <w:drawing>
        <wp:anchor distT="0" distB="0" distL="114300" distR="114300" simplePos="0" relativeHeight="251658240" behindDoc="0" locked="0" layoutInCell="1" allowOverlap="1" wp14:anchorId="256B8B35" wp14:editId="29C8406E">
          <wp:simplePos x="0" y="0"/>
          <wp:positionH relativeFrom="column">
            <wp:posOffset>-3810</wp:posOffset>
          </wp:positionH>
          <wp:positionV relativeFrom="paragraph">
            <wp:posOffset>-1905</wp:posOffset>
          </wp:positionV>
          <wp:extent cx="604800" cy="608400"/>
          <wp:effectExtent l="0" t="0" r="5080" b="127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800" cy="608400"/>
                  </a:xfrm>
                  <a:prstGeom prst="rect">
                    <a:avLst/>
                  </a:prstGeom>
                </pic:spPr>
              </pic:pic>
            </a:graphicData>
          </a:graphic>
          <wp14:sizeRelH relativeFrom="margin">
            <wp14:pctWidth>0</wp14:pctWidth>
          </wp14:sizeRelH>
          <wp14:sizeRelV relativeFrom="margin">
            <wp14:pctHeight>0</wp14:pctHeight>
          </wp14:sizeRelV>
        </wp:anchor>
      </w:drawing>
    </w:r>
    <w:r w:rsidRPr="00B279F2">
      <w:rPr>
        <w:color w:val="1F497D" w:themeColor="text2"/>
        <w:lang w:val="sv-SE"/>
      </w:rPr>
      <w:t>Metodgruppen oförstörande fältmätningar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F2" w:rsidRDefault="00B279F2" w:rsidP="00B279F2">
    <w:pPr>
      <w:pStyle w:val="Rubrik"/>
      <w:tabs>
        <w:tab w:val="left" w:pos="1134"/>
      </w:tabs>
      <w:spacing w:after="120"/>
      <w:ind w:left="1134"/>
    </w:pPr>
    <w:r>
      <w:rPr>
        <w:noProof/>
        <w:lang w:val="sv-SE" w:eastAsia="sv-SE"/>
      </w:rPr>
      <w:drawing>
        <wp:anchor distT="0" distB="0" distL="114300" distR="114300" simplePos="0" relativeHeight="251660288" behindDoc="0" locked="0" layoutInCell="1" allowOverlap="1" wp14:anchorId="2A6DE593" wp14:editId="550D08E0">
          <wp:simplePos x="0" y="0"/>
          <wp:positionH relativeFrom="column">
            <wp:posOffset>-3810</wp:posOffset>
          </wp:positionH>
          <wp:positionV relativeFrom="paragraph">
            <wp:posOffset>-1905</wp:posOffset>
          </wp:positionV>
          <wp:extent cx="604800" cy="608400"/>
          <wp:effectExtent l="0" t="0" r="5080" b="127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800" cy="608400"/>
                  </a:xfrm>
                  <a:prstGeom prst="rect">
                    <a:avLst/>
                  </a:prstGeom>
                </pic:spPr>
              </pic:pic>
            </a:graphicData>
          </a:graphic>
          <wp14:sizeRelH relativeFrom="margin">
            <wp14:pctWidth>0</wp14:pctWidth>
          </wp14:sizeRelH>
          <wp14:sizeRelV relativeFrom="margin">
            <wp14:pctHeight>0</wp14:pctHeight>
          </wp14:sizeRelV>
        </wp:anchor>
      </w:drawing>
    </w:r>
    <w:r>
      <w:rPr>
        <w:lang w:val="sv-SE"/>
      </w:rPr>
      <w:t>Metodgruppen oförstörande fältmätningar</w:t>
    </w:r>
  </w:p>
  <w:p w:rsidR="00B279F2" w:rsidRDefault="00B279F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9F2" w:rsidRDefault="00B279F2" w:rsidP="005E0660">
    <w:pPr>
      <w:pStyle w:val="Rubrik"/>
      <w:spacing w:after="120"/>
      <w:ind w:left="1644" w:firstLine="2268"/>
    </w:pPr>
    <w:r w:rsidRPr="00B279F2">
      <w:rPr>
        <w:noProof/>
        <w:color w:val="1F497D" w:themeColor="text2"/>
        <w:lang w:val="sv-SE" w:eastAsia="sv-SE"/>
      </w:rPr>
      <w:drawing>
        <wp:anchor distT="0" distB="0" distL="114300" distR="114300" simplePos="0" relativeHeight="251662336" behindDoc="0" locked="0" layoutInCell="1" allowOverlap="1" wp14:anchorId="1E6CEE98" wp14:editId="5409ED19">
          <wp:simplePos x="0" y="0"/>
          <wp:positionH relativeFrom="column">
            <wp:posOffset>-3810</wp:posOffset>
          </wp:positionH>
          <wp:positionV relativeFrom="paragraph">
            <wp:posOffset>-1905</wp:posOffset>
          </wp:positionV>
          <wp:extent cx="604800" cy="608400"/>
          <wp:effectExtent l="0" t="0" r="5080" b="127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800" cy="608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B279F2">
      <w:rPr>
        <w:color w:val="1F497D" w:themeColor="text2"/>
      </w:rPr>
      <w:t>Bilaga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2AEA"/>
    <w:multiLevelType w:val="hybridMultilevel"/>
    <w:tmpl w:val="26829D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E64712C"/>
    <w:multiLevelType w:val="hybridMultilevel"/>
    <w:tmpl w:val="D36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3B38D7"/>
    <w:multiLevelType w:val="hybridMultilevel"/>
    <w:tmpl w:val="7890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2B"/>
    <w:rsid w:val="00057963"/>
    <w:rsid w:val="00075D6B"/>
    <w:rsid w:val="001A714F"/>
    <w:rsid w:val="001F2278"/>
    <w:rsid w:val="001F5930"/>
    <w:rsid w:val="002B0434"/>
    <w:rsid w:val="002B3270"/>
    <w:rsid w:val="002C0406"/>
    <w:rsid w:val="002E0CA7"/>
    <w:rsid w:val="00320A9B"/>
    <w:rsid w:val="00365C26"/>
    <w:rsid w:val="003A1245"/>
    <w:rsid w:val="003A5670"/>
    <w:rsid w:val="003B17BC"/>
    <w:rsid w:val="00425D2B"/>
    <w:rsid w:val="004479DE"/>
    <w:rsid w:val="00470F7D"/>
    <w:rsid w:val="004B7B5A"/>
    <w:rsid w:val="004F07B3"/>
    <w:rsid w:val="0053503F"/>
    <w:rsid w:val="00570BA5"/>
    <w:rsid w:val="005E0660"/>
    <w:rsid w:val="006553CA"/>
    <w:rsid w:val="00660098"/>
    <w:rsid w:val="006807C0"/>
    <w:rsid w:val="0071412C"/>
    <w:rsid w:val="00727D30"/>
    <w:rsid w:val="0077148F"/>
    <w:rsid w:val="00843EE1"/>
    <w:rsid w:val="008916B0"/>
    <w:rsid w:val="008E0B46"/>
    <w:rsid w:val="0091226D"/>
    <w:rsid w:val="00926DBA"/>
    <w:rsid w:val="009D438F"/>
    <w:rsid w:val="00A84CB1"/>
    <w:rsid w:val="00AD6BCD"/>
    <w:rsid w:val="00AF4526"/>
    <w:rsid w:val="00B16165"/>
    <w:rsid w:val="00B279F2"/>
    <w:rsid w:val="00B46572"/>
    <w:rsid w:val="00B813D9"/>
    <w:rsid w:val="00BD41EC"/>
    <w:rsid w:val="00CD38A5"/>
    <w:rsid w:val="00CF6460"/>
    <w:rsid w:val="00D763D1"/>
    <w:rsid w:val="00D8181C"/>
    <w:rsid w:val="00DC0B15"/>
    <w:rsid w:val="00E22124"/>
    <w:rsid w:val="00EC394B"/>
    <w:rsid w:val="00F5646A"/>
    <w:rsid w:val="00F60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D57AA57-FC1F-4DD7-BC6A-93F2DE49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098"/>
    <w:rPr>
      <w:lang w:val="en-GB"/>
    </w:rPr>
  </w:style>
  <w:style w:type="paragraph" w:styleId="Rubrik1">
    <w:name w:val="heading 1"/>
    <w:basedOn w:val="Normal"/>
    <w:next w:val="Normal"/>
    <w:link w:val="Rubrik1Char"/>
    <w:uiPriority w:val="9"/>
    <w:qFormat/>
    <w:rsid w:val="002B0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70F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470F7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qFormat/>
    <w:rsid w:val="00425D2B"/>
    <w:pPr>
      <w:keepNext/>
      <w:suppressAutoHyphens/>
      <w:spacing w:before="480" w:after="120" w:line="300" w:lineRule="atLeast"/>
      <w:outlineLvl w:val="3"/>
    </w:pPr>
    <w:rPr>
      <w:rFonts w:ascii="Arial" w:eastAsia="Times New Roman" w:hAnsi="Arial" w:cs="Times New Roman"/>
      <w:b/>
      <w:bCs/>
      <w:color w:val="292929"/>
      <w:sz w:val="20"/>
      <w:szCs w:val="28"/>
      <w:lang w:val="sv-SE"/>
    </w:rPr>
  </w:style>
  <w:style w:type="paragraph" w:styleId="Rubrik5">
    <w:name w:val="heading 5"/>
    <w:basedOn w:val="Normal"/>
    <w:next w:val="Normal"/>
    <w:link w:val="Rubrik5Char"/>
    <w:uiPriority w:val="9"/>
    <w:unhideWhenUsed/>
    <w:qFormat/>
    <w:rsid w:val="00DC0B15"/>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qFormat/>
    <w:rsid w:val="00DC0B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5D2B"/>
    <w:pPr>
      <w:spacing w:after="0" w:line="300" w:lineRule="atLeast"/>
      <w:ind w:left="720"/>
      <w:contextualSpacing/>
      <w:jc w:val="both"/>
    </w:pPr>
    <w:rPr>
      <w:rFonts w:ascii="Times New Roman" w:eastAsia="Times New Roman" w:hAnsi="Times New Roman" w:cs="Times New Roman"/>
      <w:color w:val="292929"/>
      <w:szCs w:val="24"/>
      <w:lang w:val="sv-SE"/>
    </w:rPr>
  </w:style>
  <w:style w:type="character" w:customStyle="1" w:styleId="Rubrik4Char">
    <w:name w:val="Rubrik 4 Char"/>
    <w:basedOn w:val="Standardstycketeckensnitt"/>
    <w:link w:val="Rubrik4"/>
    <w:rsid w:val="00425D2B"/>
    <w:rPr>
      <w:rFonts w:ascii="Arial" w:eastAsia="Times New Roman" w:hAnsi="Arial" w:cs="Times New Roman"/>
      <w:b/>
      <w:bCs/>
      <w:color w:val="292929"/>
      <w:sz w:val="20"/>
      <w:szCs w:val="28"/>
    </w:rPr>
  </w:style>
  <w:style w:type="character" w:customStyle="1" w:styleId="Rubrik1Char">
    <w:name w:val="Rubrik 1 Char"/>
    <w:basedOn w:val="Standardstycketeckensnitt"/>
    <w:link w:val="Rubrik1"/>
    <w:uiPriority w:val="9"/>
    <w:rsid w:val="002B0434"/>
    <w:rPr>
      <w:rFonts w:asciiTheme="majorHAnsi" w:eastAsiaTheme="majorEastAsia" w:hAnsiTheme="majorHAnsi" w:cstheme="majorBidi"/>
      <w:b/>
      <w:bCs/>
      <w:color w:val="365F91" w:themeColor="accent1" w:themeShade="BF"/>
      <w:sz w:val="28"/>
      <w:szCs w:val="28"/>
      <w:lang w:val="en-GB"/>
    </w:rPr>
  </w:style>
  <w:style w:type="character" w:customStyle="1" w:styleId="Rubrik2Char">
    <w:name w:val="Rubrik 2 Char"/>
    <w:basedOn w:val="Standardstycketeckensnitt"/>
    <w:link w:val="Rubrik2"/>
    <w:uiPriority w:val="9"/>
    <w:rsid w:val="00470F7D"/>
    <w:rPr>
      <w:rFonts w:asciiTheme="majorHAnsi" w:eastAsiaTheme="majorEastAsia" w:hAnsiTheme="majorHAnsi" w:cstheme="majorBidi"/>
      <w:b/>
      <w:bCs/>
      <w:color w:val="4F81BD" w:themeColor="accent1"/>
      <w:sz w:val="26"/>
      <w:szCs w:val="26"/>
      <w:lang w:val="en-GB"/>
    </w:rPr>
  </w:style>
  <w:style w:type="paragraph" w:styleId="Rubrik">
    <w:name w:val="Title"/>
    <w:basedOn w:val="Normal"/>
    <w:next w:val="Normal"/>
    <w:link w:val="RubrikChar"/>
    <w:uiPriority w:val="10"/>
    <w:qFormat/>
    <w:rsid w:val="00470F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70F7D"/>
    <w:rPr>
      <w:rFonts w:asciiTheme="majorHAnsi" w:eastAsiaTheme="majorEastAsia" w:hAnsiTheme="majorHAnsi" w:cstheme="majorBidi"/>
      <w:color w:val="17365D" w:themeColor="text2" w:themeShade="BF"/>
      <w:spacing w:val="5"/>
      <w:kern w:val="28"/>
      <w:sz w:val="52"/>
      <w:szCs w:val="52"/>
      <w:lang w:val="en-GB"/>
    </w:rPr>
  </w:style>
  <w:style w:type="character" w:customStyle="1" w:styleId="Rubrik3Char">
    <w:name w:val="Rubrik 3 Char"/>
    <w:basedOn w:val="Standardstycketeckensnitt"/>
    <w:link w:val="Rubrik3"/>
    <w:uiPriority w:val="9"/>
    <w:rsid w:val="00470F7D"/>
    <w:rPr>
      <w:rFonts w:asciiTheme="majorHAnsi" w:eastAsiaTheme="majorEastAsia" w:hAnsiTheme="majorHAnsi" w:cstheme="majorBidi"/>
      <w:b/>
      <w:bCs/>
      <w:color w:val="4F81BD" w:themeColor="accent1"/>
      <w:lang w:val="en-GB"/>
    </w:rPr>
  </w:style>
  <w:style w:type="character" w:customStyle="1" w:styleId="Rubrik5Char">
    <w:name w:val="Rubrik 5 Char"/>
    <w:basedOn w:val="Standardstycketeckensnitt"/>
    <w:link w:val="Rubrik5"/>
    <w:uiPriority w:val="9"/>
    <w:rsid w:val="00DC0B15"/>
    <w:rPr>
      <w:rFonts w:asciiTheme="majorHAnsi" w:eastAsiaTheme="majorEastAsia" w:hAnsiTheme="majorHAnsi" w:cstheme="majorBidi"/>
      <w:color w:val="243F60" w:themeColor="accent1" w:themeShade="7F"/>
      <w:lang w:val="en-GB"/>
    </w:rPr>
  </w:style>
  <w:style w:type="character" w:customStyle="1" w:styleId="Rubrik6Char">
    <w:name w:val="Rubrik 6 Char"/>
    <w:basedOn w:val="Standardstycketeckensnitt"/>
    <w:link w:val="Rubrik6"/>
    <w:uiPriority w:val="9"/>
    <w:rsid w:val="00DC0B15"/>
    <w:rPr>
      <w:rFonts w:asciiTheme="majorHAnsi" w:eastAsiaTheme="majorEastAsia" w:hAnsiTheme="majorHAnsi" w:cstheme="majorBidi"/>
      <w:i/>
      <w:iCs/>
      <w:color w:val="243F60" w:themeColor="accent1" w:themeShade="7F"/>
      <w:lang w:val="en-GB"/>
    </w:rPr>
  </w:style>
  <w:style w:type="paragraph" w:styleId="Innehllsfrteckningsrubrik">
    <w:name w:val="TOC Heading"/>
    <w:basedOn w:val="Rubrik1"/>
    <w:next w:val="Normal"/>
    <w:uiPriority w:val="39"/>
    <w:semiHidden/>
    <w:unhideWhenUsed/>
    <w:qFormat/>
    <w:rsid w:val="00DC0B15"/>
    <w:pPr>
      <w:outlineLvl w:val="9"/>
    </w:pPr>
    <w:rPr>
      <w:lang w:eastAsia="en-GB"/>
    </w:rPr>
  </w:style>
  <w:style w:type="paragraph" w:styleId="Innehll1">
    <w:name w:val="toc 1"/>
    <w:basedOn w:val="Normal"/>
    <w:next w:val="Normal"/>
    <w:autoRedefine/>
    <w:uiPriority w:val="39"/>
    <w:unhideWhenUsed/>
    <w:rsid w:val="00DC0B15"/>
    <w:pPr>
      <w:spacing w:after="100"/>
    </w:pPr>
  </w:style>
  <w:style w:type="paragraph" w:styleId="Innehll3">
    <w:name w:val="toc 3"/>
    <w:basedOn w:val="Normal"/>
    <w:next w:val="Normal"/>
    <w:autoRedefine/>
    <w:uiPriority w:val="39"/>
    <w:unhideWhenUsed/>
    <w:rsid w:val="00DC0B15"/>
    <w:pPr>
      <w:spacing w:after="100"/>
      <w:ind w:left="440"/>
    </w:pPr>
  </w:style>
  <w:style w:type="character" w:styleId="Hyperlnk">
    <w:name w:val="Hyperlink"/>
    <w:basedOn w:val="Standardstycketeckensnitt"/>
    <w:uiPriority w:val="99"/>
    <w:unhideWhenUsed/>
    <w:rsid w:val="00DC0B15"/>
    <w:rPr>
      <w:color w:val="0000FF" w:themeColor="hyperlink"/>
      <w:u w:val="single"/>
    </w:rPr>
  </w:style>
  <w:style w:type="paragraph" w:styleId="Ballongtext">
    <w:name w:val="Balloon Text"/>
    <w:basedOn w:val="Normal"/>
    <w:link w:val="BallongtextChar"/>
    <w:uiPriority w:val="99"/>
    <w:semiHidden/>
    <w:unhideWhenUsed/>
    <w:rsid w:val="00DC0B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C0B15"/>
    <w:rPr>
      <w:rFonts w:ascii="Tahoma" w:hAnsi="Tahoma" w:cs="Tahoma"/>
      <w:sz w:val="16"/>
      <w:szCs w:val="16"/>
      <w:lang w:val="en-GB"/>
    </w:rPr>
  </w:style>
  <w:style w:type="paragraph" w:styleId="Innehll4">
    <w:name w:val="toc 4"/>
    <w:basedOn w:val="Normal"/>
    <w:next w:val="Normal"/>
    <w:autoRedefine/>
    <w:uiPriority w:val="39"/>
    <w:unhideWhenUsed/>
    <w:rsid w:val="00DC0B15"/>
    <w:pPr>
      <w:spacing w:after="100"/>
      <w:ind w:left="660"/>
    </w:pPr>
  </w:style>
  <w:style w:type="paragraph" w:styleId="Innehll5">
    <w:name w:val="toc 5"/>
    <w:basedOn w:val="Normal"/>
    <w:next w:val="Normal"/>
    <w:autoRedefine/>
    <w:uiPriority w:val="39"/>
    <w:unhideWhenUsed/>
    <w:rsid w:val="00DC0B15"/>
    <w:pPr>
      <w:spacing w:after="100"/>
      <w:ind w:left="880"/>
    </w:pPr>
  </w:style>
  <w:style w:type="paragraph" w:styleId="Sidhuvud">
    <w:name w:val="header"/>
    <w:basedOn w:val="Normal"/>
    <w:link w:val="SidhuvudChar"/>
    <w:uiPriority w:val="99"/>
    <w:unhideWhenUsed/>
    <w:rsid w:val="00EC39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394B"/>
    <w:rPr>
      <w:lang w:val="en-GB"/>
    </w:rPr>
  </w:style>
  <w:style w:type="paragraph" w:styleId="Sidfot">
    <w:name w:val="footer"/>
    <w:basedOn w:val="Normal"/>
    <w:link w:val="SidfotChar"/>
    <w:uiPriority w:val="99"/>
    <w:unhideWhenUsed/>
    <w:rsid w:val="00EC39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39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3750">
      <w:bodyDiv w:val="1"/>
      <w:marLeft w:val="0"/>
      <w:marRight w:val="0"/>
      <w:marTop w:val="0"/>
      <w:marBottom w:val="0"/>
      <w:divBdr>
        <w:top w:val="none" w:sz="0" w:space="0" w:color="auto"/>
        <w:left w:val="none" w:sz="0" w:space="0" w:color="auto"/>
        <w:bottom w:val="none" w:sz="0" w:space="0" w:color="auto"/>
        <w:right w:val="none" w:sz="0" w:space="0" w:color="auto"/>
      </w:divBdr>
    </w:div>
    <w:div w:id="188882401">
      <w:bodyDiv w:val="1"/>
      <w:marLeft w:val="0"/>
      <w:marRight w:val="0"/>
      <w:marTop w:val="0"/>
      <w:marBottom w:val="0"/>
      <w:divBdr>
        <w:top w:val="none" w:sz="0" w:space="0" w:color="auto"/>
        <w:left w:val="none" w:sz="0" w:space="0" w:color="auto"/>
        <w:bottom w:val="none" w:sz="0" w:space="0" w:color="auto"/>
        <w:right w:val="none" w:sz="0" w:space="0" w:color="auto"/>
      </w:divBdr>
    </w:div>
    <w:div w:id="249778314">
      <w:bodyDiv w:val="1"/>
      <w:marLeft w:val="0"/>
      <w:marRight w:val="0"/>
      <w:marTop w:val="0"/>
      <w:marBottom w:val="0"/>
      <w:divBdr>
        <w:top w:val="none" w:sz="0" w:space="0" w:color="auto"/>
        <w:left w:val="none" w:sz="0" w:space="0" w:color="auto"/>
        <w:bottom w:val="none" w:sz="0" w:space="0" w:color="auto"/>
        <w:right w:val="none" w:sz="0" w:space="0" w:color="auto"/>
      </w:divBdr>
    </w:div>
    <w:div w:id="280767309">
      <w:bodyDiv w:val="1"/>
      <w:marLeft w:val="0"/>
      <w:marRight w:val="0"/>
      <w:marTop w:val="0"/>
      <w:marBottom w:val="0"/>
      <w:divBdr>
        <w:top w:val="none" w:sz="0" w:space="0" w:color="auto"/>
        <w:left w:val="none" w:sz="0" w:space="0" w:color="auto"/>
        <w:bottom w:val="none" w:sz="0" w:space="0" w:color="auto"/>
        <w:right w:val="none" w:sz="0" w:space="0" w:color="auto"/>
      </w:divBdr>
    </w:div>
    <w:div w:id="371073060">
      <w:bodyDiv w:val="1"/>
      <w:marLeft w:val="0"/>
      <w:marRight w:val="0"/>
      <w:marTop w:val="0"/>
      <w:marBottom w:val="0"/>
      <w:divBdr>
        <w:top w:val="none" w:sz="0" w:space="0" w:color="auto"/>
        <w:left w:val="none" w:sz="0" w:space="0" w:color="auto"/>
        <w:bottom w:val="none" w:sz="0" w:space="0" w:color="auto"/>
        <w:right w:val="none" w:sz="0" w:space="0" w:color="auto"/>
      </w:divBdr>
    </w:div>
    <w:div w:id="502472487">
      <w:bodyDiv w:val="1"/>
      <w:marLeft w:val="0"/>
      <w:marRight w:val="0"/>
      <w:marTop w:val="0"/>
      <w:marBottom w:val="0"/>
      <w:divBdr>
        <w:top w:val="none" w:sz="0" w:space="0" w:color="auto"/>
        <w:left w:val="none" w:sz="0" w:space="0" w:color="auto"/>
        <w:bottom w:val="none" w:sz="0" w:space="0" w:color="auto"/>
        <w:right w:val="none" w:sz="0" w:space="0" w:color="auto"/>
      </w:divBdr>
    </w:div>
    <w:div w:id="791898558">
      <w:bodyDiv w:val="1"/>
      <w:marLeft w:val="0"/>
      <w:marRight w:val="0"/>
      <w:marTop w:val="0"/>
      <w:marBottom w:val="0"/>
      <w:divBdr>
        <w:top w:val="none" w:sz="0" w:space="0" w:color="auto"/>
        <w:left w:val="none" w:sz="0" w:space="0" w:color="auto"/>
        <w:bottom w:val="none" w:sz="0" w:space="0" w:color="auto"/>
        <w:right w:val="none" w:sz="0" w:space="0" w:color="auto"/>
      </w:divBdr>
    </w:div>
    <w:div w:id="814488762">
      <w:bodyDiv w:val="1"/>
      <w:marLeft w:val="0"/>
      <w:marRight w:val="0"/>
      <w:marTop w:val="0"/>
      <w:marBottom w:val="0"/>
      <w:divBdr>
        <w:top w:val="none" w:sz="0" w:space="0" w:color="auto"/>
        <w:left w:val="none" w:sz="0" w:space="0" w:color="auto"/>
        <w:bottom w:val="none" w:sz="0" w:space="0" w:color="auto"/>
        <w:right w:val="none" w:sz="0" w:space="0" w:color="auto"/>
      </w:divBdr>
    </w:div>
    <w:div w:id="1018770638">
      <w:bodyDiv w:val="1"/>
      <w:marLeft w:val="0"/>
      <w:marRight w:val="0"/>
      <w:marTop w:val="0"/>
      <w:marBottom w:val="0"/>
      <w:divBdr>
        <w:top w:val="none" w:sz="0" w:space="0" w:color="auto"/>
        <w:left w:val="none" w:sz="0" w:space="0" w:color="auto"/>
        <w:bottom w:val="none" w:sz="0" w:space="0" w:color="auto"/>
        <w:right w:val="none" w:sz="0" w:space="0" w:color="auto"/>
      </w:divBdr>
    </w:div>
    <w:div w:id="1050422903">
      <w:bodyDiv w:val="1"/>
      <w:marLeft w:val="0"/>
      <w:marRight w:val="0"/>
      <w:marTop w:val="0"/>
      <w:marBottom w:val="0"/>
      <w:divBdr>
        <w:top w:val="none" w:sz="0" w:space="0" w:color="auto"/>
        <w:left w:val="none" w:sz="0" w:space="0" w:color="auto"/>
        <w:bottom w:val="none" w:sz="0" w:space="0" w:color="auto"/>
        <w:right w:val="none" w:sz="0" w:space="0" w:color="auto"/>
      </w:divBdr>
    </w:div>
    <w:div w:id="1093009873">
      <w:bodyDiv w:val="1"/>
      <w:marLeft w:val="0"/>
      <w:marRight w:val="0"/>
      <w:marTop w:val="0"/>
      <w:marBottom w:val="0"/>
      <w:divBdr>
        <w:top w:val="none" w:sz="0" w:space="0" w:color="auto"/>
        <w:left w:val="none" w:sz="0" w:space="0" w:color="auto"/>
        <w:bottom w:val="none" w:sz="0" w:space="0" w:color="auto"/>
        <w:right w:val="none" w:sz="0" w:space="0" w:color="auto"/>
      </w:divBdr>
    </w:div>
    <w:div w:id="1426731129">
      <w:bodyDiv w:val="1"/>
      <w:marLeft w:val="0"/>
      <w:marRight w:val="0"/>
      <w:marTop w:val="0"/>
      <w:marBottom w:val="0"/>
      <w:divBdr>
        <w:top w:val="none" w:sz="0" w:space="0" w:color="auto"/>
        <w:left w:val="none" w:sz="0" w:space="0" w:color="auto"/>
        <w:bottom w:val="none" w:sz="0" w:space="0" w:color="auto"/>
        <w:right w:val="none" w:sz="0" w:space="0" w:color="auto"/>
      </w:divBdr>
    </w:div>
    <w:div w:id="1886790834">
      <w:bodyDiv w:val="1"/>
      <w:marLeft w:val="0"/>
      <w:marRight w:val="0"/>
      <w:marTop w:val="0"/>
      <w:marBottom w:val="0"/>
      <w:divBdr>
        <w:top w:val="none" w:sz="0" w:space="0" w:color="auto"/>
        <w:left w:val="none" w:sz="0" w:space="0" w:color="auto"/>
        <w:bottom w:val="none" w:sz="0" w:space="0" w:color="auto"/>
        <w:right w:val="none" w:sz="0" w:space="0" w:color="auto"/>
      </w:divBdr>
    </w:div>
    <w:div w:id="1906866664">
      <w:bodyDiv w:val="1"/>
      <w:marLeft w:val="0"/>
      <w:marRight w:val="0"/>
      <w:marTop w:val="0"/>
      <w:marBottom w:val="0"/>
      <w:divBdr>
        <w:top w:val="none" w:sz="0" w:space="0" w:color="auto"/>
        <w:left w:val="none" w:sz="0" w:space="0" w:color="auto"/>
        <w:bottom w:val="none" w:sz="0" w:space="0" w:color="auto"/>
        <w:right w:val="none" w:sz="0" w:space="0" w:color="auto"/>
      </w:divBdr>
    </w:div>
    <w:div w:id="1994597626">
      <w:bodyDiv w:val="1"/>
      <w:marLeft w:val="0"/>
      <w:marRight w:val="0"/>
      <w:marTop w:val="0"/>
      <w:marBottom w:val="0"/>
      <w:divBdr>
        <w:top w:val="none" w:sz="0" w:space="0" w:color="auto"/>
        <w:left w:val="none" w:sz="0" w:space="0" w:color="auto"/>
        <w:bottom w:val="none" w:sz="0" w:space="0" w:color="auto"/>
        <w:right w:val="none" w:sz="0" w:space="0" w:color="auto"/>
      </w:divBdr>
    </w:div>
    <w:div w:id="21301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10D6-B94E-4FD8-ABA6-92B64E07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8040</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VTI</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Sjögren</dc:creator>
  <cp:lastModifiedBy>Leif Viman</cp:lastModifiedBy>
  <cp:revision>10</cp:revision>
  <cp:lastPrinted>2011-12-02T14:35:00Z</cp:lastPrinted>
  <dcterms:created xsi:type="dcterms:W3CDTF">2013-02-14T10:46:00Z</dcterms:created>
  <dcterms:modified xsi:type="dcterms:W3CDTF">2014-04-11T08:52:00Z</dcterms:modified>
</cp:coreProperties>
</file>